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62" w:beforeLines="20" w:after="62" w:afterLines="20" w:line="580" w:lineRule="exact"/>
        <w:jc w:val="center"/>
        <w:rPr>
          <w:rFonts w:hint="eastAsia" w:ascii="方正小标宋简体" w:hAnsi="黑体" w:eastAsia="方正小标宋简体" w:cs="黑体"/>
          <w:w w:val="98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w w:val="98"/>
          <w:sz w:val="40"/>
          <w:szCs w:val="40"/>
        </w:rPr>
        <w:t>漳平市城市规划区土地类别划分（城区）</w:t>
      </w:r>
      <w:bookmarkEnd w:id="0"/>
    </w:p>
    <w:tbl>
      <w:tblPr>
        <w:tblStyle w:val="3"/>
        <w:tblW w:w="8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9"/>
        <w:gridCol w:w="855"/>
        <w:gridCol w:w="534"/>
        <w:gridCol w:w="6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599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类别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60" w:lineRule="exact"/>
              <w:ind w:left="-57" w:leftChars="-27" w:right="-69" w:rightChars="-33" w:firstLine="57" w:firstLineChars="26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基准地价级别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 xml:space="preserve">范    </w:t>
            </w:r>
            <w:r>
              <w:rPr>
                <w:rFonts w:hint="eastAsia" w:eastAsia="仿宋_GB2312"/>
                <w:kern w:val="0"/>
                <w:sz w:val="22"/>
                <w:szCs w:val="22"/>
              </w:rPr>
              <w:t>　　</w:t>
            </w:r>
            <w:r>
              <w:rPr>
                <w:rFonts w:eastAsia="仿宋_GB2312"/>
                <w:kern w:val="0"/>
                <w:sz w:val="22"/>
                <w:szCs w:val="22"/>
              </w:rPr>
              <w:t xml:space="preserve">   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7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一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类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区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商服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</w:t>
            </w: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主要分布在华裕商贸城、九龙江、解放路、劳动巷等围成区域；和平路从桂北路口往北至交通局道路两侧；桂北路道路两侧，具体以级别图为准。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主要分布在一级地外缘，解放路以东，汽车站以南，铁路线以西，漳平供电局以北围成区域；东环路、景弘路、铁路围成区域；检察院宿舍区以北、中山医院以东、九龙江以南、桂林中心幼儿园以西围成区域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住宅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</w:t>
            </w: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下水洋路</w:t>
            </w:r>
            <w:r>
              <w:rPr>
                <w:rFonts w:ascii="宋体" w:hAnsi="宋体"/>
                <w:kern w:val="0"/>
                <w:sz w:val="22"/>
                <w:szCs w:val="22"/>
              </w:rPr>
              <w:t>-</w:t>
            </w:r>
            <w:r>
              <w:rPr>
                <w:rFonts w:eastAsia="仿宋_GB2312"/>
                <w:kern w:val="0"/>
                <w:sz w:val="22"/>
                <w:szCs w:val="22"/>
              </w:rPr>
              <w:t>解放路以西，九龙江以北，劳动巷以东，赤山路以南围成区域；桂北路两侧，和平南路（桂北路至漳平大桥两侧）区域，具体以级别图为准。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6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级范围外，东至东环路，南至景弘路、福祉阁公园山脚、九龙江、西至解放路西段、军民路，北至东环路、漳平火车站、汽车站、第二医院；桂林主要分布在桂林路桂林中心幼儿园以西，检察院宿舍以北，和平南路以西约180米围成区域；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工矿仓储用地</w:t>
            </w: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西环路以东，祥和商城以南，铁路线和九龙江以西，和平南路和东环路以北围成区域，具体以级别图为准。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二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类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区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商服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</w:t>
            </w: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24" w:firstLineChars="200"/>
              <w:rPr>
                <w:rFonts w:eastAsia="仿宋_GB2312"/>
                <w:spacing w:val="-4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分布在二级地外缘，宝娘路、警辉花园、特殊教育学校以东，阳光城以南，东环以西，九龙桂冠以北围成区域，具体以级别图为准。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分布在三级地外缘，西环路以东，工业路以南，大景城、东环路以西，汽车南站以北围成区域，具体以宗地线为界。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5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住宅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</w:t>
            </w: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三级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二级范围外，东至东山名座、凯华丽都、东环路与东湖路路口，南至法院、东山别墅、九龙江，西至漳平一中、西环路，北至天守阳光城、职业中专北侧区域；桂林主要分布在二级范围外，九龙江以南，和平南路以北，名仕大厦以西，赤仑山以东围成区域；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四级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分布在三级地外缘，西环路西侧山脚以东，工业路以南，漳永公路、东环路以西，闽西南商贸城、汽车南站以北围成区域；具体以级别图为准。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工矿仓储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用地二级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一级地外缘，西环路西侧山脚以东，工业园区（含工业园区）以南，富山工业园区以西，汽车南站以北围成区域，具体以级别图为准。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三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类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区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商服用地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24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定级范围内扣除上述已经划分的四个土地级别范围以外的土地。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住宅用地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五级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24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2"/>
                <w:szCs w:val="22"/>
              </w:rPr>
              <w:t>定级范围内扣除上述已经划分的四个土地级别范围以外的土地。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工矿仓储</w:t>
            </w:r>
          </w:p>
          <w:p>
            <w:pPr>
              <w:spacing w:line="260" w:lineRule="exact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用地三级</w:t>
            </w:r>
          </w:p>
        </w:tc>
        <w:tc>
          <w:tcPr>
            <w:tcW w:w="6502" w:type="dxa"/>
            <w:vAlign w:val="center"/>
          </w:tcPr>
          <w:p>
            <w:pPr>
              <w:spacing w:line="260" w:lineRule="exact"/>
              <w:ind w:firstLine="440" w:firstLineChars="200"/>
              <w:rPr>
                <w:rFonts w:eastAsia="仿宋_GB2312"/>
                <w:kern w:val="0"/>
                <w:sz w:val="22"/>
                <w:szCs w:val="22"/>
              </w:rPr>
            </w:pPr>
            <w:r>
              <w:rPr>
                <w:rFonts w:eastAsia="仿宋_GB2312"/>
                <w:kern w:val="0"/>
                <w:sz w:val="22"/>
                <w:szCs w:val="22"/>
              </w:rPr>
              <w:t>定级范围内扣除一级、二级地范围以外的土地。</w:t>
            </w:r>
          </w:p>
        </w:tc>
      </w:tr>
    </w:tbl>
    <w:p>
      <w:pPr>
        <w:spacing w:line="420" w:lineRule="exact"/>
        <w:ind w:firstLine="110" w:firstLineChars="50"/>
        <w:rPr>
          <w:rFonts w:hint="eastAsia" w:ascii="楷体_GB2312" w:hAnsi="楷体" w:eastAsia="楷体_GB2312"/>
          <w:sz w:val="22"/>
          <w:szCs w:val="22"/>
        </w:rPr>
      </w:pPr>
      <w:r>
        <w:rPr>
          <w:rFonts w:hint="eastAsia" w:ascii="楷体_GB2312" w:hAnsi="楷体" w:eastAsia="楷体_GB2312"/>
          <w:sz w:val="22"/>
          <w:szCs w:val="22"/>
        </w:rPr>
        <w:t>备注：具体基准地价用地范围以实时级别图为准。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F472C"/>
    <w:rsid w:val="143F4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2021-03-16T10:15:00Z</dcterms:created>
  <dc:creator>admin</dc:creator>
  <cp:lastModifiedBy>admin</cp:lastModifiedBy>
  <dcterms:modified xsi:type="dcterms:W3CDTF">2021-03-16T10:16:19Z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