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43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黑体" w:eastAsia="方正小标宋_GBK" w:cs="Times New Roman"/>
          <w:color w:val="auto"/>
          <w:sz w:val="38"/>
          <w:szCs w:val="38"/>
          <w:highlight w:val="none"/>
          <w:lang w:eastAsia="zh-CN"/>
        </w:rPr>
      </w:pPr>
      <w:r>
        <w:rPr>
          <w:rFonts w:hint="eastAsia" w:ascii="方正小标宋_GBK" w:hAnsi="黑体" w:eastAsia="方正小标宋_GBK" w:cs="Times New Roman"/>
          <w:color w:val="auto"/>
          <w:sz w:val="38"/>
          <w:szCs w:val="38"/>
          <w:highlight w:val="none"/>
          <w:lang w:eastAsia="zh-CN"/>
        </w:rPr>
        <w:t>龙岩市生态环境局</w:t>
      </w:r>
    </w:p>
    <w:p w14:paraId="48A11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_GBK" w:hAnsi="黑体" w:eastAsia="方正小标宋_GBK" w:cs="Times New Roman"/>
          <w:color w:val="auto"/>
          <w:sz w:val="38"/>
          <w:szCs w:val="38"/>
          <w:highlight w:val="none"/>
          <w:lang w:eastAsia="zh-CN"/>
        </w:rPr>
      </w:pPr>
      <w:r>
        <w:rPr>
          <w:rFonts w:hint="eastAsia" w:ascii="方正小标宋_GBK" w:hAnsi="黑体" w:eastAsia="方正小标宋_GBK" w:cs="Times New Roman"/>
          <w:color w:val="auto"/>
          <w:sz w:val="38"/>
          <w:szCs w:val="38"/>
          <w:highlight w:val="none"/>
          <w:lang w:eastAsia="zh-CN"/>
        </w:rPr>
        <w:t>行政处罚</w:t>
      </w:r>
      <w:r>
        <w:rPr>
          <w:rFonts w:hint="eastAsia" w:ascii="方正小标宋_GBK" w:hAnsi="黑体" w:eastAsia="方正小标宋_GBK" w:cs="Times New Roman"/>
          <w:color w:val="auto"/>
          <w:sz w:val="38"/>
          <w:szCs w:val="38"/>
          <w:highlight w:val="none"/>
          <w:lang w:val="en-US" w:eastAsia="zh-CN"/>
        </w:rPr>
        <w:t>决定</w:t>
      </w:r>
      <w:r>
        <w:rPr>
          <w:rFonts w:hint="eastAsia" w:ascii="方正小标宋_GBK" w:hAnsi="黑体" w:eastAsia="方正小标宋_GBK" w:cs="Times New Roman"/>
          <w:color w:val="auto"/>
          <w:sz w:val="38"/>
          <w:szCs w:val="38"/>
          <w:highlight w:val="none"/>
          <w:lang w:eastAsia="zh-CN"/>
        </w:rPr>
        <w:t>书</w:t>
      </w:r>
    </w:p>
    <w:p w14:paraId="6A06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9" w:beforeLines="80" w:line="580" w:lineRule="exact"/>
        <w:jc w:val="center"/>
        <w:textAlignment w:val="auto"/>
        <w:rPr>
          <w:rFonts w:hint="eastAsia" w:ascii="楷体_GB2312" w:hAnsi="宋体" w:eastAsia="楷体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宋体" w:eastAsia="楷体_GB2312" w:cs="Times New Roman"/>
          <w:sz w:val="32"/>
          <w:szCs w:val="32"/>
          <w:highlight w:val="none"/>
          <w:u w:val="none"/>
          <w:lang w:val="en-US" w:eastAsia="zh-CN"/>
        </w:rPr>
        <w:t>闽龙环罚〔2025〕22号</w:t>
      </w:r>
    </w:p>
    <w:p w14:paraId="4C5CC6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/>
          <w:highlight w:val="none"/>
          <w:lang w:eastAsia="zh-CN"/>
        </w:rPr>
      </w:pPr>
    </w:p>
    <w:p w14:paraId="50AAB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当事人名称：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曹庆标</w:t>
      </w:r>
      <w:bookmarkStart w:id="0" w:name="_GoBack"/>
      <w:bookmarkEnd w:id="0"/>
    </w:p>
    <w:p w14:paraId="44EA3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曹庆标</w:t>
      </w:r>
    </w:p>
    <w:p w14:paraId="41D7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352626********2471</w:t>
      </w:r>
    </w:p>
    <w:p w14:paraId="737FC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漳平市赤水镇赤水村东尾26号</w:t>
      </w:r>
    </w:p>
    <w:p w14:paraId="2CEC5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2025年1月2日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经营的生猪养殖场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进行了调查，发现你实施了以下生态环境违法行为：</w:t>
      </w:r>
    </w:p>
    <w:p w14:paraId="4D9B8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2025年1月2日上午，我局执法人员对你经营的生猪养殖场进行现场检查，现场检查时，你经营的养殖场现养殖生猪共约290头，其中母猪约30头、菜猪约260头。你经营的养殖场养殖废水经收集至污水处理设施处理后流入生化塘，并由水泵从生化塘抽水上山浇灌，现场检查发现生化塘东北侧设置一根PVC管，管口未封堵，现场未发现有排污痕迹。我局执法人员对以上检查情况进行拍照取证。</w:t>
      </w:r>
    </w:p>
    <w:p w14:paraId="29226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以上事实，有以下主要证据证明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13CE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1.2025年1月2日，龙岩市生态环境局现场检查（勘察）笔录一份及照片五份，证明曹庆标经营的养殖场违规设置一处PVC管排污口及现场检查情况。</w:t>
      </w:r>
    </w:p>
    <w:p w14:paraId="1B67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2.2025年1月2日，龙岩市生态环境局调查询问笔录一份，证明现场检查情况及违法事实。</w:t>
      </w:r>
    </w:p>
    <w:p w14:paraId="59241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3.2025年1月2日，由曹庆标提供的身份证复印件1份，证明违法责任主体及身份信息。</w:t>
      </w:r>
    </w:p>
    <w:p w14:paraId="3A310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4.2025年1月10日，龙岩市生态环境局现场检查（勘察）笔录1份及现场照片（图片）证据1份，证明曹庆标整改情况。</w:t>
      </w:r>
    </w:p>
    <w:p w14:paraId="0275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5.龙岩市地表水环境功能区划定方案1份，证明其排入水域环境功能类别。</w:t>
      </w:r>
    </w:p>
    <w:p w14:paraId="145BF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6.漳平市城区声环境功能区划分图1份、漳平市地表水环境功能区划图1份、漳平市环境空气质量功能类别区划图1份，证明建设地点符合环境功能区划；</w:t>
      </w:r>
    </w:p>
    <w:p w14:paraId="47A2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7.执法人员行政执法证3份，证明执法人员行政执法资格。</w:t>
      </w:r>
    </w:p>
    <w:p w14:paraId="41897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上述行为违反了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《中华人民共和国水污染防治法》第二十二条：“向水体排放污染物的企业事业单位和其他生产经营者，应当按照法律、行政法规和国务院环境保护主管部门的规定设置排污口”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的规定。</w:t>
      </w:r>
    </w:p>
    <w:p w14:paraId="4B468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我局于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日以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《行政处罚事先告知书》（闽龙漳环罚听告字〔2025〕2号）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告知你陈述申辩权和听证申请权，你未在规定期限内提出陈述申辩和听证申请，视为放弃该权利。</w:t>
      </w:r>
    </w:p>
    <w:p w14:paraId="3AB86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《中华人民共和国水污染防治法》第八十四条第二款：“除前款规定外，违反法律、行政法规和国务院环境保护主管部门的规定设置排污口的，由县级以上地方人民政府环境保护主管部门责令限期拆除，处二万元以上十万元以下的罚款；逾期不拆除的，强制拆除，所需费用由违法者承担，处十万元以上五十万元以下的罚款；情节严重的，可以责令停产整治。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《福建省生态环境行政处罚裁量规则》的裁量规则和基准，分别适用“一、违法行为共性裁量基准表”“二、违法行为修正裁量基准表”“三、违法行为个性裁量基准表（三）水污染防治类 第6点 违反法律、行政法规和国务院环境保护主管部门的规定设置排污口”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  <w:t>规定，综合考虑你违法行为构成要素、违法情节、违法程度等多方面因素，我局对你作出如下行政处罚：</w:t>
      </w:r>
    </w:p>
    <w:p w14:paraId="1A616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highlight w:val="none"/>
          <w:u w:val="single"/>
          <w:lang w:val="en-US" w:eastAsia="zh-CN"/>
        </w:rPr>
        <w:t>处罚款人民币贰万伍仟叁佰叁拾叁元整（¥2.5333万元）。</w:t>
      </w:r>
    </w:p>
    <w:p w14:paraId="25825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限于接到本处罚决定之日起十五日内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持《福建省非税收入缴款通知书（电子）》和本行政处罚决定书至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银行或者通过电子支付系统缴纳罚款。逾期不缴纳罚款的，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可以根据《中华人民共和国行政处罚法》第七十二条第一款第一项规定每日按罚款数额的百分之三加处罚款。</w:t>
      </w:r>
    </w:p>
    <w:p w14:paraId="7DBB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你如不服本处罚决定，可在收到本处罚决定书之日起六十日内向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龙岩市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人民政府申请行政复议，也可以在六个月内向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新罗区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人民法院提起行政诉讼。申请行政复议或者提起行政诉讼，不停止行政处罚决定的执行。</w:t>
      </w:r>
    </w:p>
    <w:p w14:paraId="6088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u w:val="singl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逾期不申请行政复议，不提起行政诉讼，又不履行本处罚决定的，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将依法申请人民法院强制执行。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u w:val="none"/>
        </w:rPr>
        <w:t xml:space="preserve"> </w:t>
      </w:r>
    </w:p>
    <w:p w14:paraId="26485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 w14:paraId="21AED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</w:pPr>
    </w:p>
    <w:p w14:paraId="700668F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right"/>
        <w:textAlignment w:val="auto"/>
        <w:rPr>
          <w:rFonts w:hint="default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 xml:space="preserve">                      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龙岩市生态环境局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p w14:paraId="019C4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Times New Roman"/>
          <w:spacing w:val="1"/>
          <w:w w:val="97"/>
          <w:kern w:val="0"/>
          <w:sz w:val="32"/>
          <w:szCs w:val="32"/>
          <w:highlight w:val="none"/>
          <w:fitText w:val="2427" w:id="1979660715"/>
          <w:lang w:eastAsia="zh-CN"/>
        </w:rPr>
        <w:t>202</w:t>
      </w:r>
      <w:r>
        <w:rPr>
          <w:rFonts w:hint="eastAsia" w:ascii="仿宋_GB2312" w:hAnsi="宋体" w:eastAsia="仿宋_GB2312" w:cs="Times New Roman"/>
          <w:spacing w:val="1"/>
          <w:w w:val="97"/>
          <w:kern w:val="0"/>
          <w:sz w:val="32"/>
          <w:szCs w:val="32"/>
          <w:highlight w:val="none"/>
          <w:fitText w:val="2427" w:id="1979660715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pacing w:val="1"/>
          <w:w w:val="97"/>
          <w:kern w:val="0"/>
          <w:sz w:val="32"/>
          <w:szCs w:val="32"/>
          <w:highlight w:val="none"/>
          <w:fitText w:val="2427" w:id="1979660715"/>
          <w:lang w:eastAsia="zh-CN"/>
        </w:rPr>
        <w:t>年</w:t>
      </w:r>
      <w:r>
        <w:rPr>
          <w:rFonts w:hint="eastAsia" w:ascii="仿宋_GB2312" w:hAnsi="宋体" w:eastAsia="仿宋_GB2312" w:cs="Times New Roman"/>
          <w:spacing w:val="1"/>
          <w:w w:val="97"/>
          <w:kern w:val="0"/>
          <w:sz w:val="32"/>
          <w:szCs w:val="32"/>
          <w:highlight w:val="none"/>
          <w:fitText w:val="2427" w:id="1979660715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pacing w:val="1"/>
          <w:w w:val="97"/>
          <w:kern w:val="0"/>
          <w:sz w:val="32"/>
          <w:szCs w:val="32"/>
          <w:highlight w:val="none"/>
          <w:fitText w:val="2427" w:id="1979660715"/>
          <w:lang w:eastAsia="zh-CN"/>
        </w:rPr>
        <w:t>月</w:t>
      </w:r>
      <w:r>
        <w:rPr>
          <w:rFonts w:hint="eastAsia" w:ascii="仿宋_GB2312" w:hAnsi="宋体" w:eastAsia="仿宋_GB2312" w:cs="Times New Roman"/>
          <w:spacing w:val="1"/>
          <w:w w:val="97"/>
          <w:kern w:val="0"/>
          <w:sz w:val="32"/>
          <w:szCs w:val="32"/>
          <w:highlight w:val="none"/>
          <w:fitText w:val="2427" w:id="1979660715"/>
          <w:lang w:val="en-US" w:eastAsia="zh-CN"/>
        </w:rPr>
        <w:t>26</w:t>
      </w:r>
      <w:r>
        <w:rPr>
          <w:rFonts w:hint="eastAsia" w:ascii="仿宋_GB2312" w:hAnsi="宋体" w:eastAsia="仿宋_GB2312" w:cs="Times New Roman"/>
          <w:spacing w:val="5"/>
          <w:w w:val="97"/>
          <w:kern w:val="0"/>
          <w:sz w:val="32"/>
          <w:szCs w:val="32"/>
          <w:highlight w:val="none"/>
          <w:fitText w:val="2427" w:id="1979660715"/>
          <w:lang w:eastAsia="zh-CN"/>
        </w:rPr>
        <w:t>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 w:cs="Times New Roman"/>
          <w:sz w:val="30"/>
          <w:szCs w:val="30"/>
          <w:highlight w:val="non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52A4175"/>
    <w:rsid w:val="09FD45CB"/>
    <w:rsid w:val="0F38411B"/>
    <w:rsid w:val="120B43BB"/>
    <w:rsid w:val="1C7F731D"/>
    <w:rsid w:val="1DF459B5"/>
    <w:rsid w:val="3B8851C4"/>
    <w:rsid w:val="3CF06E89"/>
    <w:rsid w:val="3D4530AC"/>
    <w:rsid w:val="48DC2443"/>
    <w:rsid w:val="4D786552"/>
    <w:rsid w:val="53697426"/>
    <w:rsid w:val="58720103"/>
    <w:rsid w:val="591D4A3B"/>
    <w:rsid w:val="609E0F54"/>
    <w:rsid w:val="67C35967"/>
    <w:rsid w:val="6DA2226D"/>
    <w:rsid w:val="752A4175"/>
    <w:rsid w:val="758D69E1"/>
    <w:rsid w:val="7AAD2AD4"/>
    <w:rsid w:val="7CE02B73"/>
    <w:rsid w:val="7E041281"/>
    <w:rsid w:val="7F3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1473</Characters>
  <Lines>0</Lines>
  <Paragraphs>0</Paragraphs>
  <TotalTime>3</TotalTime>
  <ScaleCrop>false</ScaleCrop>
  <LinksUpToDate>false</LinksUpToDate>
  <CharactersWithSpaces>1543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2024-12-24T03:33:00Z</dcterms:created>
  <dc:creator>PC</dc:creator>
  <cp:lastModifiedBy>张张张</cp:lastModifiedBy>
  <cp:lastPrinted>2025-02-10T02:13:00Z</cp:lastPrinted>
  <dcterms:modified xsi:type="dcterms:W3CDTF">2025-02-26T07:03:03Z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458862E174694EC79F4C89D633CE76C0_13</vt:lpwstr>
  </property>
  <property fmtid="{D5CDD505-2E9C-101B-9397-08002B2CF9AE}" pid="4" name="KSOTemplateDocerSaveRecord">
    <vt:lpwstr>eyJoZGlkIjoiNmJhNmRlMWFkYWRmZTYyOTBjNWE5YjExMjZhZjcyNjkiLCJ1c2VySWQiOiIzMzMxMjI3NDEifQ==</vt:lpwstr>
  </property>
</Properties>
</file>