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A3AD1">
      <w:pPr>
        <w:adjustRightInd w:val="0"/>
        <w:snapToGrid w:val="0"/>
        <w:jc w:val="center"/>
        <w:rPr>
          <w:rFonts w:hint="eastAsia" w:ascii="方正小标宋_GBK" w:hAnsi="黑体" w:eastAsia="方正小标宋_GBK"/>
          <w:color w:val="auto"/>
          <w:sz w:val="38"/>
          <w:szCs w:val="38"/>
          <w:lang w:eastAsia="zh-CN"/>
        </w:rPr>
      </w:pPr>
      <w:r>
        <w:rPr>
          <w:rFonts w:hint="eastAsia" w:ascii="方正小标宋_GBK" w:hAnsi="黑体" w:eastAsia="方正小标宋_GBK"/>
          <w:color w:val="auto"/>
          <w:sz w:val="38"/>
          <w:szCs w:val="38"/>
          <w:lang w:eastAsia="zh-CN"/>
        </w:rPr>
        <w:t>龙岩市生态环境局</w:t>
      </w:r>
    </w:p>
    <w:p w14:paraId="4AE6D558">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4A18A70C">
      <w:pPr>
        <w:adjustRightInd w:val="0"/>
        <w:snapToGrid w:val="0"/>
        <w:spacing w:before="249" w:beforeLines="80"/>
        <w:jc w:val="center"/>
        <w:rPr>
          <w:rFonts w:hint="eastAsia" w:ascii="楷体_GB2312" w:hAnsi="宋体" w:eastAsia="楷体_GB2312"/>
          <w:sz w:val="32"/>
          <w:szCs w:val="32"/>
        </w:rPr>
      </w:pPr>
      <w:r>
        <w:rPr>
          <w:rFonts w:hint="eastAsia" w:ascii="楷体_GB2312" w:hAnsi="宋体" w:eastAsia="楷体_GB2312"/>
          <w:sz w:val="32"/>
          <w:szCs w:val="32"/>
          <w:u w:val="none"/>
        </w:rPr>
        <w:t xml:space="preserve"> </w:t>
      </w:r>
      <w:r>
        <w:rPr>
          <w:rFonts w:hint="eastAsia" w:ascii="楷体_GB2312" w:hAnsi="宋体" w:eastAsia="楷体_GB2312"/>
          <w:sz w:val="32"/>
          <w:szCs w:val="32"/>
          <w:u w:val="none"/>
          <w:lang w:val="en-US" w:eastAsia="zh-CN"/>
        </w:rPr>
        <w:t>闽龙</w:t>
      </w:r>
      <w:r>
        <w:rPr>
          <w:rFonts w:hint="eastAsia" w:ascii="楷体_GB2312" w:hAnsi="宋体" w:eastAsia="楷体_GB2312"/>
          <w:sz w:val="32"/>
          <w:szCs w:val="32"/>
        </w:rPr>
        <w:t>环罚〔</w:t>
      </w:r>
      <w:r>
        <w:rPr>
          <w:rFonts w:hint="eastAsia" w:ascii="楷体_GB2312" w:hAnsi="宋体" w:eastAsia="楷体_GB2312"/>
          <w:sz w:val="32"/>
          <w:szCs w:val="32"/>
          <w:lang w:val="en-US" w:eastAsia="zh-CN"/>
        </w:rPr>
        <w:t>2024</w:t>
      </w:r>
      <w:r>
        <w:rPr>
          <w:rFonts w:hint="eastAsia" w:ascii="楷体_GB2312" w:hAnsi="宋体" w:eastAsia="楷体_GB2312"/>
          <w:sz w:val="32"/>
          <w:szCs w:val="32"/>
        </w:rPr>
        <w:t>〕</w:t>
      </w:r>
      <w:r>
        <w:rPr>
          <w:rFonts w:hint="eastAsia" w:ascii="楷体_GB2312" w:hAnsi="宋体" w:eastAsia="楷体_GB2312"/>
          <w:sz w:val="32"/>
          <w:szCs w:val="32"/>
          <w:lang w:val="en-US" w:eastAsia="zh-CN"/>
        </w:rPr>
        <w:t>125</w:t>
      </w:r>
      <w:r>
        <w:rPr>
          <w:rFonts w:hint="eastAsia" w:ascii="楷体_GB2312" w:hAnsi="宋体" w:eastAsia="楷体_GB2312"/>
          <w:sz w:val="32"/>
          <w:szCs w:val="32"/>
        </w:rPr>
        <w:t>号</w:t>
      </w:r>
    </w:p>
    <w:p w14:paraId="0B448CBC">
      <w:pPr>
        <w:keepNext w:val="0"/>
        <w:keepLines w:val="0"/>
        <w:pageBreakBefore w:val="0"/>
        <w:widowControl w:val="0"/>
        <w:kinsoku/>
        <w:wordWrap/>
        <w:overflowPunct/>
        <w:topLinePunct w:val="0"/>
        <w:autoSpaceDE/>
        <w:autoSpaceDN/>
        <w:bidi w:val="0"/>
        <w:adjustRightInd w:val="0"/>
        <w:snapToGrid w:val="0"/>
        <w:spacing w:line="300" w:lineRule="atLeast"/>
        <w:jc w:val="left"/>
        <w:textAlignment w:val="auto"/>
        <w:rPr>
          <w:rFonts w:ascii="黑体" w:hAnsi="宋体" w:eastAsia="黑体"/>
          <w:sz w:val="32"/>
          <w:szCs w:val="32"/>
        </w:rPr>
      </w:pPr>
    </w:p>
    <w:p w14:paraId="3F7CD34F">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rPr>
        <w:t>当事人</w:t>
      </w:r>
      <w:r>
        <w:rPr>
          <w:rFonts w:hint="eastAsia" w:ascii="仿宋_GB2312" w:hAnsi="宋体" w:eastAsia="仿宋_GB2312"/>
          <w:sz w:val="30"/>
          <w:szCs w:val="30"/>
          <w:lang w:eastAsia="zh-CN"/>
        </w:rPr>
        <w:t>姓名</w:t>
      </w:r>
      <w:r>
        <w:rPr>
          <w:rFonts w:hint="eastAsia" w:ascii="仿宋_GB2312" w:hAnsi="宋体" w:eastAsia="仿宋_GB2312"/>
          <w:sz w:val="30"/>
          <w:szCs w:val="30"/>
        </w:rPr>
        <w:t>：</w:t>
      </w:r>
      <w:r>
        <w:rPr>
          <w:rFonts w:hint="eastAsia" w:ascii="仿宋_GB2312" w:hAnsi="宋体" w:eastAsia="仿宋_GB2312"/>
          <w:sz w:val="30"/>
          <w:szCs w:val="30"/>
          <w:u w:val="single"/>
          <w:lang w:eastAsia="zh-CN"/>
        </w:rPr>
        <w:t>陈永棋</w:t>
      </w:r>
    </w:p>
    <w:p w14:paraId="1F26693D">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lang w:eastAsia="zh-CN"/>
        </w:rPr>
        <w:t>身份证号码</w:t>
      </w:r>
      <w:r>
        <w:rPr>
          <w:rFonts w:hint="eastAsia" w:ascii="仿宋_GB2312" w:hAnsi="宋体" w:eastAsia="仿宋_GB2312"/>
          <w:sz w:val="30"/>
          <w:szCs w:val="30"/>
        </w:rPr>
        <w:t>：</w:t>
      </w:r>
      <w:r>
        <w:rPr>
          <w:rFonts w:hint="eastAsia" w:ascii="仿宋_GB2312" w:hAnsi="宋体" w:eastAsia="仿宋_GB2312"/>
          <w:sz w:val="30"/>
          <w:szCs w:val="30"/>
          <w:u w:val="single"/>
          <w:lang w:val="en-US" w:eastAsia="zh-CN"/>
        </w:rPr>
        <w:t>352626××××××××0911</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eastAsia="zh-CN"/>
        </w:rPr>
        <w:t>。</w:t>
      </w:r>
    </w:p>
    <w:p w14:paraId="1DEE11EA">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u w:val="single"/>
          <w:lang w:eastAsia="zh-CN"/>
        </w:rPr>
      </w:pPr>
      <w:r>
        <w:rPr>
          <w:rFonts w:hint="eastAsia" w:ascii="仿宋_GB2312" w:hAnsi="宋体" w:eastAsia="仿宋_GB2312"/>
          <w:sz w:val="30"/>
          <w:szCs w:val="30"/>
        </w:rPr>
        <w:t>地址：</w:t>
      </w:r>
      <w:r>
        <w:rPr>
          <w:rFonts w:hint="eastAsia" w:ascii="仿宋_GB2312" w:hAnsi="宋体" w:eastAsia="仿宋_GB2312"/>
          <w:sz w:val="30"/>
          <w:szCs w:val="30"/>
          <w:u w:val="single"/>
          <w:lang w:eastAsia="zh-CN"/>
        </w:rPr>
        <w:t>福建省漳平市和平镇和平村和升路</w:t>
      </w:r>
      <w:r>
        <w:rPr>
          <w:rFonts w:hint="eastAsia" w:ascii="仿宋_GB2312" w:hAnsi="宋体" w:eastAsia="仿宋_GB2312"/>
          <w:sz w:val="30"/>
          <w:szCs w:val="30"/>
          <w:u w:val="single"/>
          <w:lang w:val="en-US" w:eastAsia="zh-CN"/>
        </w:rPr>
        <w:t>21号</w:t>
      </w:r>
    </w:p>
    <w:p w14:paraId="521E9C60">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lang w:eastAsia="zh-CN"/>
        </w:rPr>
        <w:t>我局</w:t>
      </w:r>
      <w:r>
        <w:rPr>
          <w:rFonts w:hint="eastAsia" w:ascii="仿宋_GB2312" w:hAnsi="宋体" w:eastAsia="仿宋_GB2312"/>
          <w:sz w:val="30"/>
          <w:szCs w:val="30"/>
        </w:rPr>
        <w:t>于</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29</w:t>
      </w:r>
      <w:r>
        <w:rPr>
          <w:rFonts w:hint="eastAsia" w:ascii="仿宋_GB2312" w:hAnsi="宋体" w:eastAsia="仿宋_GB2312"/>
          <w:sz w:val="30"/>
          <w:szCs w:val="30"/>
        </w:rPr>
        <w:t>日对你</w:t>
      </w:r>
      <w:r>
        <w:rPr>
          <w:rFonts w:hint="eastAsia" w:ascii="仿宋_GB2312" w:hAnsi="宋体" w:eastAsia="仿宋_GB2312"/>
          <w:sz w:val="30"/>
          <w:szCs w:val="30"/>
          <w:lang w:eastAsia="zh-CN"/>
        </w:rPr>
        <w:t>煤灰堆场</w:t>
      </w:r>
      <w:r>
        <w:rPr>
          <w:rFonts w:hint="eastAsia" w:ascii="仿宋_GB2312" w:hAnsi="宋体" w:eastAsia="仿宋_GB2312"/>
          <w:sz w:val="30"/>
          <w:szCs w:val="30"/>
        </w:rPr>
        <w:t>进行了调查，发现你实施了以下生态环境违法行为：</w:t>
      </w:r>
    </w:p>
    <w:p w14:paraId="507745CE">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现场检查时，</w:t>
      </w:r>
      <w:r>
        <w:rPr>
          <w:rFonts w:hint="eastAsia" w:ascii="仿宋_GB2312" w:hAnsi="宋体" w:eastAsia="仿宋_GB2312"/>
          <w:sz w:val="30"/>
          <w:szCs w:val="30"/>
          <w:lang w:eastAsia="zh-CN"/>
        </w:rPr>
        <w:t>你位于</w:t>
      </w:r>
      <w:r>
        <w:rPr>
          <w:rFonts w:hint="eastAsia" w:ascii="仿宋_GB2312" w:hAnsi="宋体" w:eastAsia="仿宋_GB2312"/>
          <w:sz w:val="30"/>
          <w:szCs w:val="30"/>
          <w:lang w:val="en-US" w:eastAsia="zh-CN"/>
        </w:rPr>
        <w:t>漳平市菁城街道顶郊乌坑的煤灰堆放点正门进去左右两侧各堆放有若干堆的煤灰，该煤灰在干燥的情况下易产生扬尘，其中门左侧占地约450㎡的灰未进行搭盖，堆放高度约3米，露天堆放。门右侧约300㎡有用塑料膜进行防尘搭盖，周边有建设约2米的围墙进行围挡</w:t>
      </w:r>
      <w:r>
        <w:rPr>
          <w:rFonts w:hint="eastAsia" w:ascii="仿宋_GB2312" w:hAnsi="宋体" w:eastAsia="仿宋_GB2312"/>
          <w:sz w:val="30"/>
          <w:szCs w:val="30"/>
        </w:rPr>
        <w:t>。</w:t>
      </w:r>
    </w:p>
    <w:p w14:paraId="310A196D">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rPr>
        <w:t>以上事实，有以下主要证据证明</w:t>
      </w:r>
      <w:r>
        <w:rPr>
          <w:rFonts w:hint="eastAsia" w:ascii="仿宋_GB2312" w:hAnsi="宋体" w:eastAsia="仿宋_GB2312"/>
          <w:sz w:val="30"/>
          <w:szCs w:val="30"/>
          <w:lang w:eastAsia="zh-CN"/>
        </w:rPr>
        <w:t>。</w:t>
      </w:r>
    </w:p>
    <w:p w14:paraId="62CED29A">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u w:val="single"/>
          <w:lang w:val="en-US" w:eastAsia="zh-CN"/>
        </w:rPr>
      </w:pPr>
      <w:r>
        <w:rPr>
          <w:rFonts w:hint="eastAsia" w:ascii="仿宋_GB2312" w:hAnsi="宋体" w:eastAsia="仿宋_GB2312"/>
          <w:sz w:val="30"/>
          <w:szCs w:val="30"/>
          <w:u w:val="single"/>
          <w:lang w:val="en-US" w:eastAsia="zh-CN"/>
        </w:rPr>
        <w:t>1.2024年5月29日，龙岩市生态环境局现场勘查笔录及照片一份，证明现场检查情况。</w:t>
      </w:r>
    </w:p>
    <w:p w14:paraId="6CE4B7C7">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u w:val="single"/>
          <w:lang w:val="en-US" w:eastAsia="zh-CN"/>
        </w:rPr>
      </w:pPr>
      <w:r>
        <w:rPr>
          <w:rFonts w:hint="eastAsia" w:ascii="仿宋_GB2312" w:hAnsi="宋体" w:eastAsia="仿宋_GB2312"/>
          <w:sz w:val="30"/>
          <w:szCs w:val="30"/>
          <w:u w:val="single"/>
          <w:lang w:val="en-US" w:eastAsia="zh-CN"/>
        </w:rPr>
        <w:t>2.2024年6月4日，龙岩市生态环境局调查询问笔录一份，证明煤灰堆场为陈永棋经营及露天堆放事实。</w:t>
      </w:r>
    </w:p>
    <w:p w14:paraId="21EED9BC">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default" w:ascii="仿宋_GB2312" w:hAnsi="宋体" w:eastAsia="仿宋_GB2312"/>
          <w:sz w:val="30"/>
          <w:szCs w:val="30"/>
          <w:u w:val="single"/>
          <w:lang w:val="en-US" w:eastAsia="zh-CN"/>
        </w:rPr>
      </w:pPr>
      <w:r>
        <w:rPr>
          <w:rFonts w:hint="eastAsia" w:ascii="仿宋_GB2312" w:hAnsi="宋体" w:eastAsia="仿宋_GB2312"/>
          <w:sz w:val="30"/>
          <w:szCs w:val="30"/>
          <w:u w:val="single"/>
          <w:lang w:val="en-US" w:eastAsia="zh-CN"/>
        </w:rPr>
        <w:t>3.2024年5月29日，由陈永棋提供身份证，证明其身份信息。</w:t>
      </w:r>
    </w:p>
    <w:p w14:paraId="116434BB">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lang w:eastAsia="zh-CN"/>
        </w:rPr>
      </w:pPr>
      <w:r>
        <w:rPr>
          <w:rFonts w:hint="eastAsia" w:ascii="仿宋_GB2312" w:hAnsi="宋体" w:eastAsia="仿宋_GB2312"/>
          <w:sz w:val="30"/>
          <w:szCs w:val="30"/>
        </w:rPr>
        <w:t>上述行为违反了</w:t>
      </w:r>
      <w:r>
        <w:rPr>
          <w:rFonts w:hint="eastAsia" w:ascii="仿宋_GB2312" w:hAnsi="宋体" w:eastAsia="仿宋_GB2312"/>
          <w:sz w:val="30"/>
          <w:szCs w:val="30"/>
          <w:u w:val="single"/>
          <w:lang w:val="en-US" w:eastAsia="zh-CN"/>
        </w:rPr>
        <w:t>《中华人民共和国大气污染防治法》第七十二条第一款“贮存煤炭、煤矸石、煤渣、煤灰、水泥、石灰、石</w:t>
      </w:r>
      <w:bookmarkStart w:id="0" w:name="_GoBack"/>
      <w:bookmarkEnd w:id="0"/>
      <w:r>
        <w:rPr>
          <w:rFonts w:hint="eastAsia" w:ascii="仿宋_GB2312" w:hAnsi="宋体" w:eastAsia="仿宋_GB2312"/>
          <w:sz w:val="30"/>
          <w:szCs w:val="30"/>
          <w:u w:val="single"/>
          <w:lang w:val="en-US" w:eastAsia="zh-CN"/>
        </w:rPr>
        <w:t>膏、砂土等易产生扬尘的物料应当密闭;不能密闭的，应当设置不低于堆放物高度的严密围挡，并采取有效覆盖措施防治扬尘污染。”</w:t>
      </w:r>
    </w:p>
    <w:p w14:paraId="0FAD4412">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default" w:ascii="仿宋_GB2312" w:hAnsi="宋体" w:eastAsia="仿宋_GB2312"/>
          <w:sz w:val="30"/>
          <w:szCs w:val="30"/>
          <w:u w:val="single"/>
          <w:lang w:val="en-US" w:eastAsia="zh-CN"/>
        </w:rPr>
      </w:pPr>
      <w:r>
        <w:rPr>
          <w:rFonts w:hint="eastAsia" w:ascii="仿宋_GB2312" w:hAnsi="宋体" w:eastAsia="仿宋_GB2312"/>
          <w:sz w:val="30"/>
          <w:szCs w:val="30"/>
        </w:rPr>
        <w:t>我局于</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日以</w:t>
      </w:r>
      <w:r>
        <w:rPr>
          <w:rFonts w:hint="eastAsia" w:ascii="仿宋_GB2312" w:hAnsi="宋体" w:eastAsia="仿宋_GB2312"/>
          <w:sz w:val="30"/>
          <w:szCs w:val="30"/>
          <w:u w:val="single"/>
        </w:rPr>
        <w:t>《行政处罚事先告知书》（</w:t>
      </w:r>
      <w:r>
        <w:rPr>
          <w:rFonts w:hint="eastAsia" w:ascii="仿宋_GB2312" w:hAnsi="宋体" w:eastAsia="仿宋_GB2312"/>
          <w:sz w:val="30"/>
          <w:szCs w:val="30"/>
          <w:u w:val="single"/>
          <w:lang w:val="en-US" w:eastAsia="zh-CN"/>
        </w:rPr>
        <w:t>闽龙漳</w:t>
      </w:r>
      <w:r>
        <w:rPr>
          <w:rFonts w:hint="eastAsia" w:ascii="仿宋_GB2312" w:hAnsi="宋体" w:eastAsia="仿宋_GB2312"/>
          <w:sz w:val="30"/>
          <w:szCs w:val="30"/>
          <w:u w:val="single"/>
        </w:rPr>
        <w:t>环罚告</w:t>
      </w:r>
      <w:r>
        <w:rPr>
          <w:rFonts w:hint="eastAsia" w:ascii="仿宋_GB2312" w:hAnsi="宋体" w:eastAsia="仿宋_GB2312"/>
          <w:sz w:val="30"/>
          <w:szCs w:val="30"/>
          <w:u w:val="single"/>
          <w:lang w:val="en-US" w:eastAsia="zh-CN"/>
        </w:rPr>
        <w:t>字</w:t>
      </w:r>
      <w:r>
        <w:rPr>
          <w:rFonts w:hint="eastAsia" w:ascii="仿宋_GB2312" w:hAnsi="宋体" w:eastAsia="仿宋_GB2312"/>
          <w:sz w:val="30"/>
          <w:szCs w:val="30"/>
          <w:u w:val="single"/>
        </w:rPr>
        <w:t>〔</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号）</w:t>
      </w:r>
      <w:r>
        <w:rPr>
          <w:rFonts w:hint="eastAsia" w:ascii="仿宋_GB2312" w:hAnsi="宋体" w:eastAsia="仿宋_GB2312"/>
          <w:sz w:val="30"/>
          <w:szCs w:val="30"/>
        </w:rPr>
        <w:t>告知你陈述申辩权</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你未在规定期限内提出陈述申辩，视为放弃该权利。</w:t>
      </w:r>
    </w:p>
    <w:p w14:paraId="797E0CC7">
      <w:pPr>
        <w:keepNext w:val="0"/>
        <w:keepLines w:val="0"/>
        <w:pageBreakBefore w:val="0"/>
        <w:widowControl w:val="0"/>
        <w:kinsoku/>
        <w:wordWrap/>
        <w:overflowPunct/>
        <w:topLinePunct w:val="0"/>
        <w:autoSpaceDE/>
        <w:autoSpaceDN/>
        <w:bidi w:val="0"/>
        <w:adjustRightInd w:val="0"/>
        <w:snapToGrid w:val="0"/>
        <w:spacing w:line="440" w:lineRule="atLeast"/>
        <w:ind w:firstLine="640" w:firstLineChars="0"/>
        <w:textAlignment w:val="auto"/>
        <w:rPr>
          <w:rFonts w:hint="eastAsia" w:ascii="仿宋_GB2312" w:hAnsi="宋体" w:eastAsia="仿宋_GB2312"/>
          <w:sz w:val="30"/>
          <w:szCs w:val="30"/>
        </w:rPr>
      </w:pPr>
      <w:r>
        <w:rPr>
          <w:rFonts w:hint="eastAsia" w:ascii="仿宋_GB2312" w:hAnsi="宋体" w:eastAsia="仿宋_GB2312"/>
          <w:sz w:val="30"/>
          <w:szCs w:val="30"/>
        </w:rPr>
        <w:t>依据</w:t>
      </w:r>
      <w:r>
        <w:rPr>
          <w:rFonts w:hint="eastAsia" w:ascii="仿宋_GB2312" w:hAnsi="宋体" w:eastAsia="仿宋_GB2312"/>
          <w:sz w:val="30"/>
          <w:szCs w:val="30"/>
          <w:u w:val="single"/>
          <w:lang w:val="en-US" w:eastAsia="zh-CN"/>
        </w:rPr>
        <w:t>《中华人民共和国大气污染防治法》第一百一十七条第二项“ 违反本法规定，有下列行为之一的，由县级以上人民政府生态环境等主管部门按照职责责令改正，处一万元以上十万元以下的罚款;拒不改正的，责令停工整治或者停业整治:……（二）对不能密闭的易产生扬尘的物料，未设置不低于堆放物高度的严密围挡，或者未采取有效覆盖措施防治扬尘污染的；……”。</w:t>
      </w:r>
      <w:r>
        <w:rPr>
          <w:rFonts w:hint="eastAsia" w:ascii="仿宋_GB2312" w:hAnsi="宋体" w:eastAsia="仿宋_GB2312"/>
          <w:sz w:val="30"/>
          <w:szCs w:val="30"/>
          <w:u w:val="single"/>
          <w:lang w:eastAsia="zh-CN"/>
        </w:rPr>
        <w:t>及</w:t>
      </w:r>
      <w:r>
        <w:rPr>
          <w:rFonts w:hint="eastAsia" w:ascii="仿宋_GB2312" w:hAnsi="宋体" w:eastAsia="仿宋_GB2312"/>
          <w:sz w:val="30"/>
          <w:szCs w:val="30"/>
          <w:u w:val="single"/>
          <w:lang w:val="en-US" w:eastAsia="zh-CN"/>
        </w:rPr>
        <w:t>《福建省生态环境行政处罚裁量规则和基准（试行）》（2021年修订版）（十四）违反大气污染防治规定类第14种情形“对不能密闭的易产生扬尘的物料，未设置不低于堆放物高度的严密围挡，或者未采取有效覆盖措施防治扬尘污染的”之规定,</w:t>
      </w:r>
      <w:r>
        <w:rPr>
          <w:rFonts w:hint="eastAsia" w:ascii="仿宋_GB2312" w:hAnsi="宋体" w:eastAsia="仿宋_GB2312"/>
          <w:sz w:val="30"/>
          <w:szCs w:val="30"/>
          <w:highlight w:val="none"/>
          <w:u w:val="none"/>
          <w:lang w:val="en-US" w:eastAsia="zh-CN"/>
        </w:rPr>
        <w:t>综合考虑你违法行为构成要素、违法情节、违法程度等多方面因素</w:t>
      </w:r>
      <w:r>
        <w:rPr>
          <w:rFonts w:hint="eastAsia" w:ascii="仿宋_GB2312" w:hAnsi="宋体" w:eastAsia="仿宋_GB2312"/>
          <w:sz w:val="30"/>
          <w:szCs w:val="30"/>
          <w:u w:val="none"/>
        </w:rPr>
        <w:t>，</w:t>
      </w:r>
      <w:r>
        <w:rPr>
          <w:rFonts w:hint="eastAsia" w:ascii="仿宋_GB2312" w:hAnsi="宋体" w:eastAsia="仿宋_GB2312"/>
          <w:sz w:val="30"/>
          <w:szCs w:val="30"/>
          <w:lang w:eastAsia="zh-CN"/>
        </w:rPr>
        <w:t>我局</w:t>
      </w:r>
      <w:r>
        <w:rPr>
          <w:rFonts w:hint="eastAsia" w:ascii="仿宋_GB2312" w:hAnsi="宋体" w:eastAsia="仿宋_GB2312"/>
          <w:sz w:val="30"/>
          <w:szCs w:val="30"/>
        </w:rPr>
        <w:t>决定对你</w:t>
      </w:r>
      <w:r>
        <w:rPr>
          <w:rFonts w:hint="eastAsia" w:ascii="仿宋_GB2312" w:hAnsi="宋体" w:eastAsia="仿宋_GB2312"/>
          <w:sz w:val="30"/>
          <w:szCs w:val="30"/>
          <w:lang w:val="en-US" w:eastAsia="zh-CN"/>
        </w:rPr>
        <w:t>作出如下决定</w:t>
      </w:r>
      <w:r>
        <w:rPr>
          <w:rFonts w:hint="eastAsia" w:ascii="仿宋_GB2312" w:hAnsi="宋体" w:eastAsia="仿宋_GB2312"/>
          <w:sz w:val="30"/>
          <w:szCs w:val="30"/>
        </w:rPr>
        <w:t>：</w:t>
      </w:r>
    </w:p>
    <w:p w14:paraId="3BF39227">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u w:val="single"/>
          <w:lang w:val="en-US" w:eastAsia="zh-CN"/>
        </w:rPr>
        <w:t>1.</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eastAsia="zh-CN"/>
        </w:rPr>
        <w:t>对你煤灰堆场未采取覆盖等防治扬尘污染措施</w:t>
      </w:r>
      <w:r>
        <w:rPr>
          <w:rFonts w:hint="eastAsia" w:ascii="仿宋_GB2312" w:hAnsi="宋体" w:eastAsia="仿宋_GB2312"/>
          <w:sz w:val="30"/>
          <w:szCs w:val="30"/>
          <w:u w:val="single"/>
          <w:lang w:val="en-US" w:eastAsia="zh-CN"/>
        </w:rPr>
        <w:t>的行为处罚款人民币14821</w:t>
      </w:r>
      <w:r>
        <w:rPr>
          <w:rFonts w:hint="eastAsia" w:ascii="仿宋_GB2312" w:hAnsi="宋体" w:eastAsia="仿宋_GB2312"/>
          <w:sz w:val="30"/>
          <w:szCs w:val="30"/>
          <w:u w:val="single"/>
        </w:rPr>
        <w:t>元（</w:t>
      </w:r>
      <w:r>
        <w:rPr>
          <w:rFonts w:hint="eastAsia" w:ascii="仿宋_GB2312" w:hAnsi="宋体" w:eastAsia="仿宋_GB2312"/>
          <w:sz w:val="30"/>
          <w:szCs w:val="30"/>
          <w:u w:val="single"/>
          <w:lang w:eastAsia="zh-CN"/>
        </w:rPr>
        <w:t>壹</w:t>
      </w:r>
      <w:r>
        <w:rPr>
          <w:rFonts w:hint="eastAsia" w:ascii="仿宋_GB2312" w:hAnsi="宋体" w:eastAsia="仿宋_GB2312"/>
          <w:sz w:val="30"/>
          <w:szCs w:val="30"/>
          <w:u w:val="single"/>
        </w:rPr>
        <w:t>万</w:t>
      </w:r>
      <w:r>
        <w:rPr>
          <w:rFonts w:hint="eastAsia" w:ascii="仿宋_GB2312" w:hAnsi="宋体" w:eastAsia="仿宋_GB2312"/>
          <w:sz w:val="30"/>
          <w:szCs w:val="30"/>
          <w:u w:val="single"/>
          <w:lang w:eastAsia="zh-CN"/>
        </w:rPr>
        <w:t>肆仟捌</w:t>
      </w:r>
      <w:r>
        <w:rPr>
          <w:rFonts w:hint="eastAsia" w:ascii="仿宋_GB2312" w:hAnsi="宋体" w:eastAsia="仿宋_GB2312"/>
          <w:sz w:val="30"/>
          <w:szCs w:val="30"/>
          <w:u w:val="single"/>
        </w:rPr>
        <w:t>佰</w:t>
      </w:r>
      <w:r>
        <w:rPr>
          <w:rFonts w:hint="eastAsia" w:ascii="仿宋_GB2312" w:hAnsi="宋体" w:eastAsia="仿宋_GB2312"/>
          <w:sz w:val="30"/>
          <w:szCs w:val="30"/>
          <w:u w:val="single"/>
          <w:lang w:eastAsia="zh-CN"/>
        </w:rPr>
        <w:t>贰拾壹</w:t>
      </w:r>
      <w:r>
        <w:rPr>
          <w:rFonts w:hint="eastAsia" w:ascii="仿宋_GB2312" w:hAnsi="宋体" w:eastAsia="仿宋_GB2312"/>
          <w:sz w:val="30"/>
          <w:szCs w:val="30"/>
          <w:u w:val="single"/>
        </w:rPr>
        <w:t>元整）</w:t>
      </w:r>
      <w:r>
        <w:rPr>
          <w:rFonts w:hint="eastAsia" w:ascii="仿宋_GB2312" w:hAnsi="宋体" w:eastAsia="仿宋_GB2312"/>
          <w:sz w:val="30"/>
          <w:szCs w:val="30"/>
          <w:u w:val="single"/>
          <w:lang w:eastAsia="zh-CN"/>
        </w:rPr>
        <w:t>。</w:t>
      </w:r>
    </w:p>
    <w:p w14:paraId="0DC7351A">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w:t>
      </w:r>
      <w:r>
        <w:rPr>
          <w:rFonts w:hint="eastAsia" w:ascii="仿宋_GB2312" w:hAnsi="宋体" w:eastAsia="仿宋_GB2312"/>
          <w:sz w:val="30"/>
          <w:szCs w:val="30"/>
          <w:lang w:val="en-US" w:eastAsia="zh-CN"/>
        </w:rPr>
        <w:t>持《福建省非税收入缴款通知书（电子）》和本行政处罚决定书至</w:t>
      </w:r>
      <w:r>
        <w:rPr>
          <w:rFonts w:hint="eastAsia" w:ascii="仿宋_GB2312" w:hAnsi="宋体" w:eastAsia="仿宋_GB2312"/>
          <w:sz w:val="30"/>
          <w:szCs w:val="30"/>
        </w:rPr>
        <w:t>银行或者通过电子支付系统缴纳罚款。逾期不缴纳罚款的，</w:t>
      </w:r>
      <w:r>
        <w:rPr>
          <w:rFonts w:hint="eastAsia" w:ascii="仿宋_GB2312" w:hAnsi="宋体" w:eastAsia="仿宋_GB2312"/>
          <w:sz w:val="30"/>
          <w:szCs w:val="30"/>
          <w:lang w:eastAsia="zh-CN"/>
        </w:rPr>
        <w:t>我局</w:t>
      </w:r>
      <w:r>
        <w:rPr>
          <w:rFonts w:hint="eastAsia" w:ascii="仿宋_GB2312" w:hAnsi="宋体" w:eastAsia="仿宋_GB2312"/>
          <w:sz w:val="30"/>
          <w:szCs w:val="30"/>
        </w:rPr>
        <w:t>可以根据《中华人民共和国行政处罚法》第七十二条第一款第一项规定每日按罚款数额的百分之三加处罚款。</w:t>
      </w:r>
    </w:p>
    <w:p w14:paraId="3669E0D2">
      <w:pPr>
        <w:keepNext w:val="0"/>
        <w:keepLines w:val="0"/>
        <w:pageBreakBefore w:val="0"/>
        <w:widowControl w:val="0"/>
        <w:kinsoku/>
        <w:wordWrap/>
        <w:overflowPunct/>
        <w:topLinePunct w:val="0"/>
        <w:autoSpaceDE/>
        <w:autoSpaceDN/>
        <w:bidi w:val="0"/>
        <w:adjustRightInd w:val="0"/>
        <w:snapToGrid w:val="0"/>
        <w:spacing w:line="440" w:lineRule="atLeas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你如不服本处罚决定，可在收到本处罚决定书之日起六十日内向</w:t>
      </w:r>
      <w:r>
        <w:rPr>
          <w:rFonts w:hint="eastAsia" w:ascii="仿宋_GB2312" w:hAnsi="宋体" w:eastAsia="仿宋_GB2312"/>
          <w:sz w:val="30"/>
          <w:szCs w:val="30"/>
          <w:lang w:val="en-US" w:eastAsia="zh-CN"/>
        </w:rPr>
        <w:t>龙岩市</w:t>
      </w:r>
      <w:r>
        <w:rPr>
          <w:rFonts w:hint="eastAsia" w:ascii="仿宋_GB2312" w:hAnsi="宋体" w:eastAsia="仿宋_GB2312"/>
          <w:sz w:val="30"/>
          <w:szCs w:val="30"/>
        </w:rPr>
        <w:t>人民政府申请行政复议，也可以在六个月内向</w:t>
      </w:r>
      <w:r>
        <w:rPr>
          <w:rFonts w:hint="eastAsia" w:ascii="仿宋_GB2312" w:hAnsi="宋体" w:eastAsia="仿宋_GB2312"/>
          <w:sz w:val="30"/>
          <w:szCs w:val="30"/>
          <w:lang w:val="en-US" w:eastAsia="zh-CN"/>
        </w:rPr>
        <w:t>新罗区</w:t>
      </w:r>
      <w:r>
        <w:rPr>
          <w:rFonts w:hint="eastAsia" w:ascii="仿宋_GB2312" w:hAnsi="宋体" w:eastAsia="仿宋_GB2312"/>
          <w:sz w:val="30"/>
          <w:szCs w:val="30"/>
        </w:rPr>
        <w:t>人民法院提起行政诉讼。申请行政复议或者提起行政诉讼，不停止行政处罚决定的执行。</w:t>
      </w:r>
    </w:p>
    <w:p w14:paraId="52D24361">
      <w:pPr>
        <w:keepNext w:val="0"/>
        <w:keepLines w:val="0"/>
        <w:pageBreakBefore w:val="0"/>
        <w:widowControl w:val="0"/>
        <w:kinsoku/>
        <w:wordWrap/>
        <w:overflowPunct/>
        <w:topLinePunct w:val="0"/>
        <w:autoSpaceDE/>
        <w:autoSpaceDN/>
        <w:bidi w:val="0"/>
        <w:adjustRightInd w:val="0"/>
        <w:snapToGrid w:val="0"/>
        <w:spacing w:line="440" w:lineRule="atLeast"/>
        <w:ind w:right="0" w:firstLine="600" w:firstLineChars="200"/>
        <w:jc w:val="left"/>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w:t>
      </w:r>
      <w:r>
        <w:rPr>
          <w:rFonts w:hint="eastAsia" w:ascii="仿宋_GB2312" w:hAnsi="宋体" w:eastAsia="仿宋_GB2312"/>
          <w:sz w:val="30"/>
          <w:szCs w:val="30"/>
          <w:lang w:eastAsia="zh-CN"/>
        </w:rPr>
        <w:t>我局</w:t>
      </w:r>
      <w:r>
        <w:rPr>
          <w:rFonts w:hint="eastAsia" w:ascii="仿宋_GB2312" w:hAnsi="宋体" w:eastAsia="仿宋_GB2312"/>
          <w:sz w:val="30"/>
          <w:szCs w:val="30"/>
        </w:rPr>
        <w:t>将依法申请人民法院强制执行。</w:t>
      </w:r>
    </w:p>
    <w:p w14:paraId="671A71CE">
      <w:pPr>
        <w:keepNext w:val="0"/>
        <w:keepLines w:val="0"/>
        <w:pageBreakBefore w:val="0"/>
        <w:widowControl w:val="0"/>
        <w:kinsoku/>
        <w:wordWrap/>
        <w:overflowPunct/>
        <w:topLinePunct w:val="0"/>
        <w:autoSpaceDE/>
        <w:autoSpaceDN/>
        <w:bidi w:val="0"/>
        <w:adjustRightInd w:val="0"/>
        <w:snapToGrid w:val="0"/>
        <w:spacing w:line="440" w:lineRule="atLeast"/>
        <w:jc w:val="right"/>
        <w:textAlignment w:val="auto"/>
        <w:rPr>
          <w:rFonts w:hint="eastAsia" w:ascii="仿宋_GB2312" w:hAnsi="宋体" w:eastAsia="仿宋_GB2312"/>
          <w:sz w:val="30"/>
          <w:szCs w:val="30"/>
          <w:lang w:eastAsia="zh-CN"/>
        </w:rPr>
      </w:pPr>
    </w:p>
    <w:p w14:paraId="3C9216EA">
      <w:pPr>
        <w:keepNext w:val="0"/>
        <w:keepLines w:val="0"/>
        <w:pageBreakBefore w:val="0"/>
        <w:widowControl w:val="0"/>
        <w:kinsoku/>
        <w:wordWrap/>
        <w:overflowPunct/>
        <w:topLinePunct w:val="0"/>
        <w:autoSpaceDE/>
        <w:autoSpaceDN/>
        <w:bidi w:val="0"/>
        <w:adjustRightInd w:val="0"/>
        <w:snapToGrid w:val="0"/>
        <w:spacing w:line="440" w:lineRule="atLeast"/>
        <w:jc w:val="right"/>
        <w:textAlignment w:val="auto"/>
        <w:rPr>
          <w:rFonts w:hint="eastAsia" w:ascii="仿宋_GB2312" w:hAnsi="宋体" w:eastAsia="仿宋_GB2312"/>
          <w:sz w:val="30"/>
          <w:szCs w:val="30"/>
          <w:lang w:eastAsia="zh-CN"/>
        </w:rPr>
      </w:pPr>
    </w:p>
    <w:p w14:paraId="53D6A1C1">
      <w:pPr>
        <w:keepNext w:val="0"/>
        <w:keepLines w:val="0"/>
        <w:pageBreakBefore w:val="0"/>
        <w:widowControl w:val="0"/>
        <w:kinsoku/>
        <w:wordWrap/>
        <w:overflowPunct/>
        <w:topLinePunct w:val="0"/>
        <w:autoSpaceDE/>
        <w:autoSpaceDN/>
        <w:bidi w:val="0"/>
        <w:adjustRightInd w:val="0"/>
        <w:snapToGrid w:val="0"/>
        <w:spacing w:line="440" w:lineRule="atLeast"/>
        <w:jc w:val="center"/>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lang w:eastAsia="zh-CN"/>
        </w:rPr>
        <w:t>龙岩市生态环境局</w:t>
      </w:r>
      <w:r>
        <w:rPr>
          <w:rFonts w:hint="eastAsia" w:ascii="仿宋_GB2312" w:hAnsi="宋体" w:eastAsia="仿宋_GB2312"/>
          <w:sz w:val="30"/>
          <w:szCs w:val="30"/>
        </w:rPr>
        <w:t xml:space="preserve"> </w:t>
      </w:r>
    </w:p>
    <w:p w14:paraId="5545A4F9">
      <w:pPr>
        <w:keepNext w:val="0"/>
        <w:keepLines w:val="0"/>
        <w:pageBreakBefore w:val="0"/>
        <w:widowControl w:val="0"/>
        <w:kinsoku/>
        <w:wordWrap/>
        <w:overflowPunct/>
        <w:topLinePunct w:val="0"/>
        <w:autoSpaceDE/>
        <w:autoSpaceDN/>
        <w:bidi w:val="0"/>
        <w:spacing w:line="440" w:lineRule="atLeast"/>
        <w:jc w:val="center"/>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 xml:space="preserve">                                    2024</w:t>
      </w:r>
      <w:r>
        <w:rPr>
          <w:rFonts w:hint="eastAsia" w:ascii="仿宋_GB2312" w:hAnsi="宋体" w:eastAsia="仿宋_GB2312"/>
          <w:sz w:val="30"/>
          <w:szCs w:val="30"/>
        </w:rPr>
        <w:t xml:space="preserve">年 </w:t>
      </w:r>
      <w:r>
        <w:rPr>
          <w:rFonts w:hint="eastAsia" w:ascii="仿宋_GB2312" w:hAnsi="宋体" w:eastAsia="仿宋_GB2312"/>
          <w:sz w:val="30"/>
          <w:szCs w:val="30"/>
          <w:lang w:val="en-US" w:eastAsia="zh-CN"/>
        </w:rPr>
        <w:t>8</w:t>
      </w:r>
      <w:r>
        <w:rPr>
          <w:rFonts w:hint="eastAsia" w:ascii="仿宋_GB2312" w:hAnsi="宋体" w:eastAsia="仿宋_GB2312"/>
          <w:sz w:val="30"/>
          <w:szCs w:val="30"/>
        </w:rPr>
        <w:t xml:space="preserve"> 月 </w:t>
      </w:r>
      <w:r>
        <w:rPr>
          <w:rFonts w:hint="eastAsia" w:ascii="仿宋_GB2312" w:hAnsi="宋体" w:eastAsia="仿宋_GB2312"/>
          <w:sz w:val="30"/>
          <w:szCs w:val="30"/>
          <w:lang w:val="en-US" w:eastAsia="zh-CN"/>
        </w:rPr>
        <w:t>15</w:t>
      </w:r>
      <w:r>
        <w:rPr>
          <w:rFonts w:hint="eastAsia" w:ascii="仿宋_GB2312" w:hAnsi="宋体" w:eastAsia="仿宋_GB2312"/>
          <w:sz w:val="30"/>
          <w:szCs w:val="30"/>
        </w:rPr>
        <w:t xml:space="preserve"> 日</w:t>
      </w:r>
    </w:p>
    <w:p w14:paraId="5DE5D7F9">
      <w:pPr>
        <w:keepNext w:val="0"/>
        <w:keepLines w:val="0"/>
        <w:pageBreakBefore w:val="0"/>
        <w:widowControl w:val="0"/>
        <w:kinsoku/>
        <w:wordWrap/>
        <w:overflowPunct/>
        <w:topLinePunct w:val="0"/>
        <w:autoSpaceDE/>
        <w:autoSpaceDN/>
        <w:bidi w:val="0"/>
        <w:spacing w:line="440" w:lineRule="atLeast"/>
        <w:textAlignment w:val="auto"/>
        <w:rPr>
          <w:rFonts w:hint="eastAsia" w:ascii="仿宋_GB2312" w:hAnsi="宋体"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ODQyMjk4ODAzNGE1MzViN2VjNDJjNjljNGQwZDEifQ=="/>
    <w:docVar w:name="KSO_WPS_MARK_KEY" w:val="b813ce4c-75a5-4933-a526-ffbf10ededf1"/>
  </w:docVars>
  <w:rsids>
    <w:rsidRoot w:val="DFF706C6"/>
    <w:rsid w:val="01EA3135"/>
    <w:rsid w:val="0C78497D"/>
    <w:rsid w:val="1DEB36AF"/>
    <w:rsid w:val="2CC91CD0"/>
    <w:rsid w:val="2F863A64"/>
    <w:rsid w:val="307D5D88"/>
    <w:rsid w:val="31C22ED1"/>
    <w:rsid w:val="33944953"/>
    <w:rsid w:val="33A51F6D"/>
    <w:rsid w:val="42B41EBB"/>
    <w:rsid w:val="623B2E03"/>
    <w:rsid w:val="68A531BA"/>
    <w:rsid w:val="7B404113"/>
    <w:rsid w:val="7CBA4BBE"/>
    <w:rsid w:val="CFDEB155"/>
    <w:rsid w:val="DFF706C6"/>
    <w:rsid w:val="FFF5A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1175</Words>
  <Characters>1233</Characters>
  <Lines>0</Lines>
  <Paragraphs>0</Paragraphs>
  <TotalTime>27</TotalTime>
  <ScaleCrop>false</ScaleCrop>
  <LinksUpToDate>false</LinksUpToDate>
  <CharactersWithSpaces>1320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2024-06-07T02:06:00Z</dcterms:created>
  <dc:creator>哎呀哎呀阿怡啊</dc:creator>
  <cp:lastModifiedBy>Administrator</cp:lastModifiedBy>
  <cp:lastPrinted>2024-08-15T00:55:00Z</cp:lastPrinted>
  <dcterms:modified xsi:type="dcterms:W3CDTF">2024-08-26T02:34:45Z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D713BEF6066BF505388A6166EB9C73FF_41</vt:lpwstr>
  </property>
</Properties>
</file>