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72"/>
          <w:szCs w:val="72"/>
        </w:rPr>
      </w:pPr>
      <w:r>
        <w:rPr>
          <w:rFonts w:hint="eastAsia" w:ascii="方正小标宋简体" w:eastAsia="方正小标宋简体"/>
          <w:sz w:val="72"/>
          <w:szCs w:val="72"/>
          <w:lang w:val="en-US" w:eastAsia="zh-CN"/>
        </w:rPr>
        <w:t>2022</w:t>
      </w:r>
      <w:r>
        <w:rPr>
          <w:rFonts w:hint="eastAsia" w:ascii="方正小标宋简体" w:eastAsia="方正小标宋简体"/>
          <w:sz w:val="72"/>
          <w:szCs w:val="72"/>
        </w:rPr>
        <w:t>年度</w:t>
      </w:r>
    </w:p>
    <w:p>
      <w:pPr>
        <w:widowControl/>
        <w:jc w:val="center"/>
        <w:rPr>
          <w:rFonts w:asciiTheme="minorEastAsia" w:hAnsiTheme="minorEastAsia"/>
          <w:sz w:val="72"/>
          <w:szCs w:val="72"/>
        </w:rPr>
      </w:pPr>
      <w:r>
        <w:rPr>
          <w:rFonts w:hint="eastAsia" w:ascii="方正小标宋简体" w:eastAsia="方正小标宋简体"/>
          <w:sz w:val="72"/>
          <w:szCs w:val="72"/>
          <w:lang w:val="en-US" w:eastAsia="zh-CN"/>
        </w:rPr>
        <w:t>漳平市溪南镇人民政府</w:t>
      </w:r>
    </w:p>
    <w:p>
      <w:pPr>
        <w:widowControl/>
        <w:jc w:val="center"/>
        <w:rPr>
          <w:rFonts w:ascii="方正小标宋简体" w:eastAsia="方正小标宋简体"/>
          <w:sz w:val="72"/>
          <w:szCs w:val="72"/>
        </w:rPr>
      </w:pPr>
      <w:r>
        <w:rPr>
          <w:rFonts w:hint="eastAsia" w:ascii="方正小标宋简体" w:eastAsia="方正小标宋简体"/>
          <w:sz w:val="72"/>
          <w:szCs w:val="72"/>
        </w:rPr>
        <w:t>部门决算</w:t>
      </w:r>
    </w:p>
    <w:p>
      <w:pPr>
        <w:widowControl/>
        <w:rPr>
          <w:sz w:val="84"/>
          <w:szCs w:val="84"/>
        </w:rPr>
      </w:pPr>
      <w:r>
        <w:rPr>
          <w:sz w:val="84"/>
          <w:szCs w:val="84"/>
        </w:rPr>
        <w:br w:type="page"/>
      </w:r>
    </w:p>
    <w:p>
      <w:pPr>
        <w:jc w:val="center"/>
        <w:rPr>
          <w:rFonts w:ascii="仿宋" w:hAnsi="仿宋" w:eastAsia="仿宋"/>
          <w:b/>
          <w:sz w:val="32"/>
          <w:szCs w:val="32"/>
        </w:rPr>
      </w:pPr>
      <w:r>
        <w:rPr>
          <w:rFonts w:hint="eastAsia" w:ascii="仿宋" w:hAnsi="仿宋" w:eastAsia="仿宋"/>
          <w:b/>
          <w:sz w:val="32"/>
          <w:szCs w:val="32"/>
        </w:rPr>
        <w:t>目 录</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b/>
          <w:sz w:val="32"/>
          <w:szCs w:val="32"/>
        </w:rPr>
        <w:t>第一部分 部门概况</w:t>
      </w:r>
      <w:r>
        <w:rPr>
          <w:rFonts w:hint="eastAsia" w:ascii="仿宋" w:hAnsi="仿宋" w:eastAsia="仿宋"/>
          <w:sz w:val="32"/>
          <w:szCs w:val="32"/>
        </w:rPr>
        <w:t xml:space="preserve">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eastAsia="zh-CN"/>
        </w:rPr>
      </w:pPr>
      <w:r>
        <w:rPr>
          <w:rFonts w:hint="eastAsia" w:ascii="仿宋" w:hAnsi="仿宋" w:eastAsia="仿宋"/>
          <w:sz w:val="32"/>
          <w:szCs w:val="32"/>
        </w:rPr>
        <w:t>一、部门主要职责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ascii="仿宋" w:hAnsi="仿宋" w:eastAsia="仿宋"/>
          <w:sz w:val="32"/>
          <w:szCs w:val="32"/>
        </w:rPr>
      </w:pPr>
      <w:r>
        <w:rPr>
          <w:rFonts w:hint="eastAsia" w:ascii="仿宋" w:hAnsi="仿宋" w:eastAsia="仿宋"/>
          <w:sz w:val="32"/>
          <w:szCs w:val="32"/>
        </w:rPr>
        <w:t>二、部门决算单位基本情况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三、部门主要工作总结...............................</w:t>
      </w:r>
      <w:r>
        <w:rPr>
          <w:rFonts w:hint="eastAsia" w:ascii="仿宋" w:hAnsi="仿宋" w:eastAsia="仿宋"/>
          <w:sz w:val="32"/>
          <w:szCs w:val="32"/>
          <w:lang w:val="en-US" w:eastAsia="zh-CN"/>
        </w:rPr>
        <w:t>2</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b/>
          <w:sz w:val="32"/>
          <w:szCs w:val="32"/>
        </w:rPr>
        <w:t xml:space="preserve">第二部分 </w:t>
      </w:r>
      <w:r>
        <w:rPr>
          <w:rFonts w:hint="eastAsia" w:ascii="仿宋" w:hAnsi="仿宋" w:eastAsia="仿宋"/>
          <w:b/>
          <w:sz w:val="32"/>
          <w:szCs w:val="32"/>
          <w:lang w:val="en-US" w:eastAsia="zh-CN"/>
        </w:rPr>
        <w:t>2022</w:t>
      </w:r>
      <w:r>
        <w:rPr>
          <w:rFonts w:hint="eastAsia" w:ascii="仿宋" w:hAnsi="仿宋" w:eastAsia="仿宋"/>
          <w:b/>
          <w:sz w:val="32"/>
          <w:szCs w:val="32"/>
        </w:rPr>
        <w:t>年度部门决算表</w:t>
      </w:r>
      <w:r>
        <w:rPr>
          <w:rFonts w:hint="eastAsia" w:ascii="仿宋" w:hAnsi="仿宋" w:eastAsia="仿宋"/>
          <w:sz w:val="32"/>
          <w:szCs w:val="32"/>
        </w:rPr>
        <w:t xml:space="preserve"> ......................</w:t>
      </w:r>
      <w:r>
        <w:rPr>
          <w:rFonts w:hint="eastAsia" w:ascii="仿宋" w:hAnsi="仿宋" w:eastAsia="仿宋"/>
          <w:sz w:val="32"/>
          <w:szCs w:val="32"/>
          <w:lang w:val="en-US" w:eastAsia="zh-CN"/>
        </w:rPr>
        <w:t>3</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一、收入支出决算总表 ..............................</w:t>
      </w:r>
      <w:r>
        <w:rPr>
          <w:rFonts w:hint="eastAsia" w:ascii="仿宋" w:hAnsi="仿宋" w:eastAsia="仿宋"/>
          <w:sz w:val="32"/>
          <w:szCs w:val="32"/>
          <w:lang w:val="en-US" w:eastAsia="zh-CN"/>
        </w:rPr>
        <w:t>3</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二、收入决算表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4</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三、支出决算表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5</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四、财政拨款收入支出决算总表 ......................</w:t>
      </w:r>
      <w:r>
        <w:rPr>
          <w:rFonts w:hint="eastAsia" w:ascii="仿宋" w:hAnsi="仿宋" w:eastAsia="仿宋"/>
          <w:sz w:val="32"/>
          <w:szCs w:val="32"/>
          <w:lang w:val="en-US" w:eastAsia="zh-CN"/>
        </w:rPr>
        <w:t>7</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五、一般公共预算财政拨款支出决算表 ................</w:t>
      </w:r>
      <w:r>
        <w:rPr>
          <w:rFonts w:hint="eastAsia" w:ascii="仿宋" w:hAnsi="仿宋" w:eastAsia="仿宋"/>
          <w:sz w:val="32"/>
          <w:szCs w:val="32"/>
          <w:lang w:val="en-US" w:eastAsia="zh-CN"/>
        </w:rPr>
        <w:t>9</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六、</w:t>
      </w:r>
      <w:r>
        <w:rPr>
          <w:rFonts w:hint="eastAsia" w:ascii="仿宋" w:hAnsi="仿宋" w:eastAsia="仿宋"/>
          <w:spacing w:val="-14"/>
          <w:sz w:val="32"/>
          <w:szCs w:val="32"/>
        </w:rPr>
        <w:t>一般公共预算财政拨款基本支出决算表</w:t>
      </w:r>
      <w:r>
        <w:rPr>
          <w:rFonts w:hint="eastAsia" w:ascii="仿宋" w:hAnsi="仿宋" w:eastAsia="仿宋"/>
          <w:sz w:val="32"/>
          <w:szCs w:val="32"/>
        </w:rPr>
        <w:t>...............</w:t>
      </w:r>
      <w:r>
        <w:rPr>
          <w:rFonts w:hint="eastAsia" w:ascii="仿宋" w:hAnsi="仿宋" w:eastAsia="仿宋"/>
          <w:sz w:val="32"/>
          <w:szCs w:val="32"/>
          <w:lang w:val="en-US" w:eastAsia="zh-CN"/>
        </w:rPr>
        <w:t>10</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七、一般公共预算财政拨款“三公”经费支出决算表</w:t>
      </w:r>
      <w:r>
        <w:rPr>
          <w:rFonts w:hint="eastAsia" w:ascii="仿宋" w:hAnsi="仿宋" w:eastAsia="仿宋"/>
          <w:sz w:val="32"/>
          <w:szCs w:val="32"/>
          <w:highlight w:val="none"/>
        </w:rPr>
        <w:t>.....</w:t>
      </w:r>
      <w:r>
        <w:rPr>
          <w:rFonts w:hint="eastAsia" w:ascii="仿宋" w:hAnsi="仿宋" w:eastAsia="仿宋"/>
          <w:sz w:val="32"/>
          <w:szCs w:val="32"/>
          <w:lang w:val="en-US" w:eastAsia="zh-CN"/>
        </w:rPr>
        <w:t>12</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八、政府性基金预算财政拨款收入支出决算表 .........</w:t>
      </w:r>
      <w:r>
        <w:rPr>
          <w:rFonts w:hint="eastAsia" w:ascii="仿宋" w:hAnsi="仿宋" w:eastAsia="仿宋"/>
          <w:sz w:val="32"/>
          <w:szCs w:val="32"/>
          <w:lang w:val="en-US" w:eastAsia="zh-CN"/>
        </w:rPr>
        <w:t>13</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九、</w:t>
      </w:r>
      <w:r>
        <w:rPr>
          <w:rFonts w:hint="eastAsia" w:ascii="仿宋" w:hAnsi="仿宋" w:eastAsia="仿宋"/>
          <w:spacing w:val="-14"/>
          <w:sz w:val="32"/>
          <w:szCs w:val="32"/>
        </w:rPr>
        <w:t>国有资本经营预算财政拨款支出决算表</w:t>
      </w:r>
      <w:r>
        <w:rPr>
          <w:rFonts w:hint="eastAsia" w:ascii="仿宋" w:hAnsi="仿宋" w:eastAsia="仿宋"/>
          <w:sz w:val="32"/>
          <w:szCs w:val="32"/>
        </w:rPr>
        <w:t>...............</w:t>
      </w:r>
      <w:r>
        <w:rPr>
          <w:rFonts w:hint="eastAsia" w:ascii="仿宋" w:hAnsi="仿宋" w:eastAsia="仿宋"/>
          <w:sz w:val="32"/>
          <w:szCs w:val="32"/>
          <w:lang w:val="en-US" w:eastAsia="zh-CN"/>
        </w:rPr>
        <w:t>13</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b/>
          <w:sz w:val="32"/>
          <w:szCs w:val="32"/>
        </w:rPr>
        <w:t xml:space="preserve">第三部分 </w:t>
      </w:r>
      <w:r>
        <w:rPr>
          <w:rFonts w:hint="eastAsia" w:ascii="仿宋" w:hAnsi="仿宋" w:eastAsia="仿宋" w:cs="仿宋_GB2312"/>
          <w:sz w:val="32"/>
          <w:szCs w:val="32"/>
          <w:lang w:val="en-US" w:eastAsia="zh-CN"/>
        </w:rPr>
        <w:t>2022</w:t>
      </w:r>
      <w:r>
        <w:rPr>
          <w:rFonts w:hint="eastAsia" w:ascii="仿宋" w:hAnsi="仿宋" w:eastAsia="仿宋"/>
          <w:b/>
          <w:sz w:val="32"/>
          <w:szCs w:val="32"/>
        </w:rPr>
        <w:t>年度部门决算情况说明</w:t>
      </w:r>
      <w:r>
        <w:rPr>
          <w:rFonts w:hint="eastAsia" w:ascii="仿宋" w:hAnsi="仿宋" w:eastAsia="仿宋"/>
          <w:sz w:val="32"/>
          <w:szCs w:val="32"/>
        </w:rPr>
        <w:t xml:space="preserve"> ...............</w:t>
      </w:r>
      <w:r>
        <w:rPr>
          <w:rFonts w:hint="eastAsia" w:ascii="仿宋" w:hAnsi="仿宋" w:eastAsia="仿宋"/>
          <w:sz w:val="32"/>
          <w:szCs w:val="32"/>
          <w:lang w:val="en-US" w:eastAsia="zh-CN"/>
        </w:rPr>
        <w:t>14</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一、收入支出决算总体情况说明 .....................</w:t>
      </w:r>
      <w:r>
        <w:rPr>
          <w:rFonts w:hint="eastAsia" w:ascii="仿宋" w:hAnsi="仿宋" w:eastAsia="仿宋"/>
          <w:sz w:val="32"/>
          <w:szCs w:val="32"/>
          <w:lang w:val="en-US" w:eastAsia="zh-CN"/>
        </w:rPr>
        <w:t>14</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二、一般公共预算财政拨款支出决算情况说明..........</w:t>
      </w:r>
      <w:r>
        <w:rPr>
          <w:rFonts w:hint="eastAsia" w:ascii="仿宋" w:hAnsi="仿宋" w:eastAsia="仿宋"/>
          <w:sz w:val="32"/>
          <w:szCs w:val="32"/>
          <w:lang w:val="en-US" w:eastAsia="zh-CN"/>
        </w:rPr>
        <w:t>15</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三、政府性基金预算财政拨款支出决算情况说明 .......</w:t>
      </w:r>
      <w:r>
        <w:rPr>
          <w:rFonts w:hint="eastAsia" w:ascii="仿宋" w:hAnsi="仿宋" w:eastAsia="仿宋"/>
          <w:sz w:val="32"/>
          <w:szCs w:val="32"/>
          <w:lang w:val="en-US" w:eastAsia="zh-CN"/>
        </w:rPr>
        <w:t>18</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四、国有资本经营预算财政拨款支出决算情况说明......</w:t>
      </w:r>
      <w:r>
        <w:rPr>
          <w:rFonts w:hint="eastAsia" w:ascii="仿宋" w:hAnsi="仿宋" w:eastAsia="仿宋"/>
          <w:sz w:val="32"/>
          <w:szCs w:val="32"/>
          <w:lang w:val="en-US" w:eastAsia="zh-CN"/>
        </w:rPr>
        <w:t>18</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五、一般公共预算财政拨款基本支出决算情况说明......</w:t>
      </w:r>
      <w:r>
        <w:rPr>
          <w:rFonts w:hint="eastAsia" w:ascii="仿宋" w:hAnsi="仿宋" w:eastAsia="仿宋"/>
          <w:sz w:val="32"/>
          <w:szCs w:val="32"/>
          <w:lang w:val="en-US" w:eastAsia="zh-CN"/>
        </w:rPr>
        <w:t>18</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六、一般公共预算财政拨款“三公”经费支出决算情况说明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19</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七、预算绩效情况说明..............................</w:t>
      </w:r>
      <w:r>
        <w:rPr>
          <w:rFonts w:hint="eastAsia" w:ascii="仿宋" w:hAnsi="仿宋" w:eastAsia="仿宋"/>
          <w:sz w:val="32"/>
          <w:szCs w:val="32"/>
          <w:lang w:val="en-US" w:eastAsia="zh-CN"/>
        </w:rPr>
        <w:t>20</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 xml:space="preserve">八、其他重要事项情况说明...................... </w:t>
      </w:r>
      <w:bookmarkStart w:id="0" w:name="_GoBack"/>
      <w:r>
        <w:rPr>
          <w:rFonts w:hint="eastAsia" w:ascii="仿宋" w:hAnsi="仿宋" w:eastAsia="仿宋"/>
          <w:sz w:val="32"/>
          <w:szCs w:val="32"/>
          <w:highlight w:val="none"/>
        </w:rPr>
        <w:t>....</w:t>
      </w:r>
      <w:bookmarkEnd w:id="0"/>
      <w:r>
        <w:rPr>
          <w:rFonts w:hint="eastAsia" w:ascii="仿宋" w:hAnsi="仿宋" w:eastAsia="仿宋"/>
          <w:sz w:val="32"/>
          <w:szCs w:val="32"/>
          <w:lang w:val="en-US" w:eastAsia="zh-CN"/>
        </w:rPr>
        <w:t>20</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b/>
          <w:sz w:val="32"/>
          <w:szCs w:val="32"/>
        </w:rPr>
        <w:t>第四部分 名词解释</w:t>
      </w:r>
      <w:r>
        <w:rPr>
          <w:rFonts w:hint="eastAsia" w:ascii="仿宋" w:hAnsi="仿宋" w:eastAsia="仿宋"/>
          <w:sz w:val="32"/>
          <w:szCs w:val="32"/>
        </w:rPr>
        <w:t xml:space="preserve">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21</w:t>
      </w:r>
    </w:p>
    <w:p>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b/>
          <w:sz w:val="32"/>
          <w:szCs w:val="32"/>
        </w:rPr>
        <w:t>第五部分 附件</w:t>
      </w:r>
      <w:r>
        <w:rPr>
          <w:rFonts w:hint="eastAsia" w:ascii="仿宋" w:hAnsi="仿宋" w:eastAsia="仿宋"/>
          <w:sz w:val="32"/>
          <w:szCs w:val="32"/>
        </w:rPr>
        <w:t xml:space="preserve">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23</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sectPr>
          <w:footerReference r:id="rId3" w:type="default"/>
          <w:pgSz w:w="11906" w:h="16838"/>
          <w:pgMar w:top="1702" w:right="1800" w:bottom="1843" w:left="180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rPr>
        <w:t>第一部分 部门概况</w:t>
      </w:r>
    </w:p>
    <w:p>
      <w:pPr>
        <w:jc w:val="center"/>
        <w:rPr>
          <w:rFonts w:ascii="黑体" w:hAnsi="黑体" w:eastAsia="黑体"/>
          <w:sz w:val="36"/>
          <w:szCs w:val="36"/>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一、部门主要职责</w:t>
      </w:r>
    </w:p>
    <w:p>
      <w:pPr>
        <w:spacing w:line="600" w:lineRule="exact"/>
        <w:ind w:firstLine="640" w:firstLineChars="200"/>
        <w:rPr>
          <w:rFonts w:ascii="仿宋_GB2312" w:hAnsi="仿宋" w:eastAsia="仿宋_GB2312"/>
          <w:sz w:val="32"/>
          <w:szCs w:val="32"/>
        </w:rPr>
      </w:pPr>
      <w:r>
        <w:rPr>
          <w:rFonts w:hint="eastAsia" w:ascii="仿宋" w:hAnsi="仿宋" w:eastAsia="仿宋"/>
          <w:sz w:val="32"/>
          <w:szCs w:val="32"/>
        </w:rPr>
        <w:t>漳平市溪南镇人民政府的主要职责是：</w:t>
      </w:r>
      <w:r>
        <w:rPr>
          <w:rFonts w:ascii="仿宋_GB2312" w:hAnsi="仿宋" w:eastAsia="仿宋_GB2312"/>
          <w:sz w:val="32"/>
          <w:szCs w:val="32"/>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（1）执行本级党委和人民代表大会的决议及上级国家行政机关的决定和命令，发布决定和命令。</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2）执行本行政区域内的经济和社会发展计划、预算，管理本行政区域内的经济、教育、科学、文化、卫生、体育事业和财政、民政、公安、司法行政、计划生育、脱贫攻坚等行政工作；取缔非法经济活动，调解和处理民事纠纷，扫黑</w:t>
      </w:r>
      <w:r>
        <w:rPr>
          <w:rFonts w:hint="eastAsia" w:ascii="仿宋" w:hAnsi="仿宋" w:eastAsia="仿宋"/>
          <w:sz w:val="32"/>
          <w:szCs w:val="32"/>
          <w:lang w:val="en-US" w:eastAsia="zh-CN"/>
        </w:rPr>
        <w:t>除</w:t>
      </w:r>
      <w:r>
        <w:rPr>
          <w:rFonts w:hint="eastAsia" w:ascii="仿宋" w:hAnsi="仿宋" w:eastAsia="仿宋"/>
          <w:sz w:val="32"/>
          <w:szCs w:val="32"/>
        </w:rPr>
        <w:t>恶，严厉打击电信诈骗犯罪活动、打击刑事犯罪维护社会稳定。</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（3）制定和组织实施村镇建设规划，经济、科技和社会发展计划，制定产业结构调整方案，组织指导好</w:t>
      </w:r>
      <w:r>
        <w:rPr>
          <w:rFonts w:hint="eastAsia" w:ascii="仿宋" w:hAnsi="仿宋" w:eastAsia="仿宋"/>
          <w:sz w:val="32"/>
          <w:szCs w:val="32"/>
          <w:highlight w:val="none"/>
          <w:lang w:eastAsia="zh-CN"/>
        </w:rPr>
        <w:t>各产</w:t>
      </w:r>
      <w:r>
        <w:rPr>
          <w:rFonts w:hint="eastAsia" w:ascii="仿宋" w:hAnsi="仿宋" w:eastAsia="仿宋"/>
          <w:sz w:val="32"/>
          <w:szCs w:val="32"/>
        </w:rPr>
        <w:t>业生产，搞好商品流通，协调好本镇与外地区的经济交流与合作，抓好招商引资，人才引进项目开发，不断培育市场体系，组织经济运行，促进经济发展。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（4）办理上级人民政府交办的</w:t>
      </w:r>
      <w:r>
        <w:rPr>
          <w:rFonts w:hint="eastAsia" w:ascii="仿宋" w:hAnsi="仿宋" w:eastAsia="仿宋"/>
          <w:sz w:val="32"/>
          <w:szCs w:val="32"/>
          <w:lang w:eastAsia="zh-CN"/>
        </w:rPr>
        <w:t>其他</w:t>
      </w:r>
      <w:r>
        <w:rPr>
          <w:rFonts w:hint="eastAsia" w:ascii="仿宋" w:hAnsi="仿宋" w:eastAsia="仿宋"/>
          <w:sz w:val="32"/>
          <w:szCs w:val="32"/>
        </w:rPr>
        <w:t>事项。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二、单位基本情况</w:t>
      </w:r>
    </w:p>
    <w:p>
      <w:pPr>
        <w:tabs>
          <w:tab w:val="left" w:pos="7513"/>
        </w:tabs>
        <w:adjustRightInd w:val="0"/>
        <w:snapToGrid w:val="0"/>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仿宋_GB2312"/>
          <w:sz w:val="32"/>
          <w:szCs w:val="32"/>
        </w:rPr>
        <w:t>决算单位构成看，漳平市溪南镇人民政府</w:t>
      </w:r>
      <w:r>
        <w:rPr>
          <w:rFonts w:hint="eastAsia" w:ascii="仿宋" w:hAnsi="仿宋" w:eastAsia="仿宋"/>
          <w:sz w:val="32"/>
          <w:szCs w:val="32"/>
        </w:rPr>
        <w:t>包括</w:t>
      </w:r>
      <w:r>
        <w:rPr>
          <w:rFonts w:hint="eastAsia" w:ascii="仿宋" w:hAnsi="仿宋" w:eastAsia="仿宋" w:cs="仿宋_GB2312"/>
          <w:sz w:val="32"/>
          <w:szCs w:val="32"/>
        </w:rPr>
        <w:t>1个机关行政科室及3大服务中心</w:t>
      </w:r>
      <w:r>
        <w:rPr>
          <w:rFonts w:hint="eastAsia" w:ascii="仿宋" w:hAnsi="仿宋" w:eastAsia="仿宋"/>
          <w:sz w:val="32"/>
          <w:szCs w:val="32"/>
        </w:rPr>
        <w:t>，其中：列入</w:t>
      </w:r>
      <w:r>
        <w:rPr>
          <w:rFonts w:hint="eastAsia" w:ascii="仿宋" w:hAnsi="仿宋" w:eastAsia="仿宋" w:cs="仿宋_GB2312"/>
          <w:sz w:val="32"/>
          <w:szCs w:val="32"/>
          <w:lang w:val="en-US" w:eastAsia="zh-CN"/>
        </w:rPr>
        <w:t>2022</w:t>
      </w:r>
      <w:r>
        <w:rPr>
          <w:rFonts w:hint="eastAsia" w:ascii="仿宋" w:hAnsi="仿宋" w:eastAsia="仿宋"/>
          <w:sz w:val="32"/>
          <w:szCs w:val="32"/>
        </w:rPr>
        <w:t>年部门决算编制范围的单位详细情况见下表</w:t>
      </w:r>
      <w:r>
        <w:rPr>
          <w:rFonts w:hint="eastAsia" w:ascii="仿宋" w:hAnsi="仿宋" w:eastAsia="仿宋"/>
          <w:sz w:val="32"/>
          <w:szCs w:val="32"/>
          <w:highlight w:val="none"/>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单位名称</w:t>
            </w:r>
          </w:p>
        </w:tc>
        <w:tc>
          <w:tcPr>
            <w:tcW w:w="21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单位性质</w:t>
            </w:r>
          </w:p>
        </w:tc>
        <w:tc>
          <w:tcPr>
            <w:tcW w:w="213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
                <w:bCs/>
                <w:sz w:val="32"/>
                <w:szCs w:val="32"/>
              </w:rPr>
            </w:pPr>
            <w:r>
              <w:rPr>
                <w:rFonts w:hint="eastAsia" w:ascii="仿宋" w:hAnsi="仿宋" w:eastAsia="仿宋" w:cs="Times New Roman"/>
                <w:b/>
                <w:bCs/>
                <w:sz w:val="32"/>
                <w:szCs w:val="32"/>
              </w:rPr>
              <w:t>漳平市溪南镇人民政府</w:t>
            </w:r>
          </w:p>
        </w:tc>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jc w:val="both"/>
              <w:rPr>
                <w:rFonts w:ascii="仿宋" w:hAnsi="仿宋" w:eastAsia="仿宋" w:cs="Times New Roman"/>
                <w:b/>
                <w:bCs/>
                <w:sz w:val="32"/>
                <w:szCs w:val="32"/>
              </w:rPr>
            </w:pPr>
            <w:r>
              <w:rPr>
                <w:rFonts w:hint="eastAsia" w:ascii="仿宋" w:hAnsi="仿宋" w:eastAsia="仿宋" w:cs="Times New Roman"/>
                <w:b/>
                <w:bCs/>
                <w:sz w:val="32"/>
                <w:szCs w:val="32"/>
              </w:rPr>
              <w:t>行政事业单位</w:t>
            </w:r>
          </w:p>
        </w:tc>
        <w:tc>
          <w:tcPr>
            <w:tcW w:w="2131"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53</w:t>
            </w:r>
          </w:p>
        </w:tc>
      </w:tr>
    </w:tbl>
    <w:p>
      <w:pPr>
        <w:spacing w:line="600" w:lineRule="exact"/>
        <w:ind w:firstLine="640" w:firstLineChars="200"/>
        <w:rPr>
          <w:rFonts w:ascii="黑体" w:hAnsi="黑体" w:eastAsia="黑体"/>
          <w:sz w:val="32"/>
          <w:szCs w:val="32"/>
        </w:rPr>
      </w:pPr>
      <w:r>
        <w:rPr>
          <w:rFonts w:hint="eastAsia" w:ascii="黑体" w:hAnsi="黑体" w:eastAsia="黑体"/>
          <w:sz w:val="32"/>
          <w:szCs w:val="32"/>
        </w:rPr>
        <w:t>三、部门主要工作总结</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eastAsia="zh-CN"/>
        </w:rPr>
        <w:t>漳平市溪南镇人民政府</w:t>
      </w:r>
      <w:r>
        <w:rPr>
          <w:rFonts w:hint="eastAsia" w:ascii="仿宋" w:hAnsi="仿宋" w:eastAsia="仿宋" w:cs="仿宋"/>
          <w:b w:val="0"/>
          <w:bCs w:val="0"/>
          <w:sz w:val="32"/>
          <w:szCs w:val="32"/>
          <w:highlight w:val="none"/>
        </w:rPr>
        <w:t>单位主要任务是：</w:t>
      </w:r>
      <w:r>
        <w:rPr>
          <w:rFonts w:hint="eastAsia" w:ascii="仿宋" w:hAnsi="仿宋" w:eastAsia="仿宋" w:cs="仿宋"/>
          <w:b w:val="0"/>
          <w:bCs w:val="0"/>
          <w:sz w:val="32"/>
          <w:szCs w:val="32"/>
          <w:highlight w:val="none"/>
          <w:lang w:eastAsia="zh-CN"/>
        </w:rPr>
        <w:t>常抓</w:t>
      </w:r>
      <w:r>
        <w:rPr>
          <w:rFonts w:hint="eastAsia" w:ascii="仿宋" w:hAnsi="仿宋" w:eastAsia="仿宋" w:cs="仿宋"/>
          <w:b w:val="0"/>
          <w:bCs w:val="0"/>
          <w:sz w:val="32"/>
          <w:szCs w:val="32"/>
          <w:highlight w:val="none"/>
        </w:rPr>
        <w:t>疫情防控</w:t>
      </w:r>
      <w:r>
        <w:rPr>
          <w:rFonts w:hint="eastAsia" w:ascii="仿宋" w:hAnsi="仿宋" w:eastAsia="仿宋" w:cs="仿宋"/>
          <w:b w:val="0"/>
          <w:bCs w:val="0"/>
          <w:sz w:val="32"/>
          <w:szCs w:val="32"/>
          <w:highlight w:val="none"/>
          <w:lang w:eastAsia="zh-CN"/>
        </w:rPr>
        <w:t>的同时，扎实推进</w:t>
      </w:r>
      <w:r>
        <w:rPr>
          <w:rFonts w:hint="eastAsia" w:ascii="仿宋" w:hAnsi="仿宋" w:eastAsia="仿宋" w:cs="仿宋"/>
          <w:b w:val="0"/>
          <w:bCs w:val="0"/>
          <w:sz w:val="32"/>
          <w:szCs w:val="32"/>
          <w:highlight w:val="none"/>
        </w:rPr>
        <w:t>项目建设</w:t>
      </w:r>
      <w:r>
        <w:rPr>
          <w:rFonts w:hint="eastAsia" w:ascii="仿宋" w:hAnsi="仿宋" w:eastAsia="仿宋" w:cs="仿宋"/>
          <w:b w:val="0"/>
          <w:bCs w:val="0"/>
          <w:sz w:val="32"/>
          <w:szCs w:val="32"/>
          <w:highlight w:val="none"/>
          <w:lang w:eastAsia="zh-CN"/>
        </w:rPr>
        <w:t>，实现</w:t>
      </w:r>
      <w:r>
        <w:rPr>
          <w:rFonts w:hint="eastAsia" w:ascii="仿宋" w:hAnsi="仿宋" w:eastAsia="仿宋" w:cs="仿宋"/>
          <w:b w:val="0"/>
          <w:bCs w:val="0"/>
          <w:sz w:val="32"/>
          <w:szCs w:val="32"/>
          <w:highlight w:val="none"/>
        </w:rPr>
        <w:t>现代农业转型升级</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围绕上述任务，重点完成了以下工作：</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（一）自3月18日启动溪南高速口防疫健康服务站值班以来，累计出动服务站点值班人员8200余人次，累计服务通行车辆20900余辆，日均服务通行车辆743辆。</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2022年溪南镇农业农村基础设施项目、产业发展项目、民生实事项目35个，在建项目28个，投入2032.3万元，已建成16个；拟建项目7个，拟投入3316万元。2022年4月下河村通过龙岩市级“两治一拆”考核验收并获得优秀评级。</w:t>
      </w:r>
    </w:p>
    <w:p>
      <w:pPr>
        <w:spacing w:line="600" w:lineRule="exact"/>
        <w:ind w:firstLine="640" w:firstLineChars="200"/>
        <w:rPr>
          <w:rFonts w:ascii="仿宋" w:hAnsi="仿宋" w:eastAsia="仿宋"/>
          <w:sz w:val="32"/>
          <w:szCs w:val="32"/>
        </w:rPr>
      </w:pPr>
      <w:r>
        <w:rPr>
          <w:rFonts w:hint="eastAsia" w:ascii="仿宋" w:hAnsi="仿宋" w:eastAsia="仿宋" w:cs="仿宋"/>
          <w:b w:val="0"/>
          <w:bCs w:val="0"/>
          <w:sz w:val="32"/>
          <w:szCs w:val="32"/>
        </w:rPr>
        <w:t>（三）加强农产品品牌打造，充分发挥“农掌柜”品牌凝聚力，大力推广“张小哥”东湖米粉品牌，做强溪南食用菌区域品牌。积极推广“古韵东湖”数字平台，吸纳溪南农副产品上线，做活数字乡村经济。</w:t>
      </w:r>
    </w:p>
    <w:p>
      <w:pPr>
        <w:widowControl/>
        <w:spacing w:line="240" w:lineRule="auto"/>
        <w:jc w:val="left"/>
        <w:rPr>
          <w:rFonts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ascii="黑体" w:hAnsi="黑体" w:eastAsia="黑体"/>
          <w:sz w:val="36"/>
          <w:szCs w:val="36"/>
        </w:rPr>
      </w:pPr>
      <w:r>
        <w:rPr>
          <w:rFonts w:hint="eastAsia" w:ascii="黑体" w:hAnsi="黑体" w:eastAsia="黑体"/>
          <w:sz w:val="36"/>
          <w:szCs w:val="36"/>
        </w:rPr>
        <w:t xml:space="preserve">第二部分 </w:t>
      </w:r>
      <w:r>
        <w:rPr>
          <w:rFonts w:hint="eastAsia" w:ascii="黑体" w:hAnsi="黑体" w:eastAsia="黑体"/>
          <w:sz w:val="36"/>
          <w:szCs w:val="36"/>
          <w:lang w:val="en-US" w:eastAsia="zh-CN"/>
        </w:rPr>
        <w:t>2022</w:t>
      </w:r>
      <w:r>
        <w:rPr>
          <w:rFonts w:hint="eastAsia" w:ascii="黑体" w:hAnsi="黑体" w:eastAsia="黑体"/>
          <w:sz w:val="36"/>
          <w:szCs w:val="36"/>
        </w:rPr>
        <w:t>年度部门决算表</w:t>
      </w: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收入支出决算总表 </w:t>
      </w:r>
    </w:p>
    <w:tbl>
      <w:tblPr>
        <w:tblStyle w:val="5"/>
        <w:tblW w:w="9200" w:type="dxa"/>
        <w:tblInd w:w="93" w:type="dxa"/>
        <w:tblLayout w:type="autofit"/>
        <w:tblCellMar>
          <w:top w:w="0" w:type="dxa"/>
          <w:left w:w="108" w:type="dxa"/>
          <w:bottom w:w="0" w:type="dxa"/>
          <w:right w:w="108" w:type="dxa"/>
        </w:tblCellMar>
      </w:tblPr>
      <w:tblGrid>
        <w:gridCol w:w="3703"/>
        <w:gridCol w:w="816"/>
        <w:gridCol w:w="3703"/>
        <w:gridCol w:w="1074"/>
      </w:tblGrid>
      <w:tr>
        <w:tblPrEx>
          <w:tblCellMar>
            <w:top w:w="0" w:type="dxa"/>
            <w:left w:w="108" w:type="dxa"/>
            <w:bottom w:w="0" w:type="dxa"/>
            <w:right w:w="108" w:type="dxa"/>
          </w:tblCellMar>
        </w:tblPrEx>
        <w:trPr>
          <w:trHeight w:val="540" w:hRule="atLeast"/>
        </w:trPr>
        <w:tc>
          <w:tcPr>
            <w:tcW w:w="9200" w:type="dxa"/>
            <w:gridSpan w:val="4"/>
            <w:tcBorders>
              <w:top w:val="nil"/>
              <w:left w:val="nil"/>
              <w:bottom w:val="nil"/>
              <w:right w:val="nil"/>
            </w:tcBorders>
            <w:shd w:val="clear" w:color="auto" w:fill="auto"/>
            <w:noWrap/>
            <w:vAlign w:val="bottom"/>
          </w:tcPr>
          <w:p>
            <w:pPr>
              <w:widowControl/>
              <w:spacing w:line="240" w:lineRule="auto"/>
              <w:jc w:val="center"/>
              <w:rPr>
                <w:rFonts w:ascii="黑体" w:hAnsi="Arial" w:eastAsia="黑体" w:cs="Arial"/>
                <w:kern w:val="0"/>
                <w:sz w:val="44"/>
                <w:szCs w:val="44"/>
              </w:rPr>
            </w:pPr>
            <w:r>
              <w:rPr>
                <w:rFonts w:hint="eastAsia" w:ascii="黑体" w:hAnsi="Arial" w:eastAsia="黑体" w:cs="Arial"/>
                <w:color w:val="000000"/>
                <w:kern w:val="0"/>
                <w:sz w:val="36"/>
                <w:szCs w:val="36"/>
              </w:rPr>
              <w:t>收入支出决算总表</w:t>
            </w:r>
          </w:p>
        </w:tc>
      </w:tr>
      <w:tr>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720" w:type="dxa"/>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4777" w:type="dxa"/>
            <w:gridSpan w:val="2"/>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公开01表</w:t>
            </w:r>
          </w:p>
        </w:tc>
      </w:tr>
      <w:tr>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720" w:type="dxa"/>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4777" w:type="dxa"/>
            <w:gridSpan w:val="2"/>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单位：万元</w:t>
            </w:r>
          </w:p>
        </w:tc>
      </w:tr>
      <w:tr>
        <w:tblPrEx>
          <w:tblCellMar>
            <w:top w:w="0" w:type="dxa"/>
            <w:left w:w="108" w:type="dxa"/>
            <w:bottom w:w="0" w:type="dxa"/>
            <w:right w:w="108" w:type="dxa"/>
          </w:tblCellMar>
        </w:tblPrEx>
        <w:trPr>
          <w:trHeight w:val="308" w:hRule="atLeast"/>
        </w:trPr>
        <w:tc>
          <w:tcPr>
            <w:tcW w:w="4423"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收入</w:t>
            </w:r>
          </w:p>
        </w:tc>
        <w:tc>
          <w:tcPr>
            <w:tcW w:w="4777" w:type="dxa"/>
            <w:gridSpan w:val="2"/>
            <w:tcBorders>
              <w:top w:val="single" w:color="000000" w:sz="8" w:space="0"/>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支出</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决算数</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rPr>
              <w:t>项目</w:t>
            </w:r>
            <w:r>
              <w:rPr>
                <w:rFonts w:hint="eastAsia" w:asciiTheme="minorEastAsia" w:hAnsiTheme="minorEastAsia" w:cstheme="minorEastAsia"/>
                <w:color w:val="000000"/>
                <w:kern w:val="0"/>
                <w:sz w:val="20"/>
                <w:szCs w:val="20"/>
                <w:highlight w:val="none"/>
                <w:lang w:eastAsia="zh-CN"/>
              </w:rPr>
              <w:t>（</w:t>
            </w:r>
            <w:r>
              <w:rPr>
                <w:rFonts w:hint="eastAsia" w:asciiTheme="minorEastAsia" w:hAnsiTheme="minorEastAsia" w:eastAsiaTheme="minorEastAsia" w:cstheme="minorEastAsia"/>
                <w:color w:val="000000"/>
                <w:kern w:val="0"/>
                <w:sz w:val="20"/>
                <w:szCs w:val="20"/>
              </w:rPr>
              <w:t>按支出功能分类</w:t>
            </w:r>
            <w:r>
              <w:rPr>
                <w:rFonts w:hint="eastAsia" w:asciiTheme="minorEastAsia" w:hAnsiTheme="minorEastAsia" w:cstheme="minorEastAsia"/>
                <w:color w:val="000000"/>
                <w:kern w:val="0"/>
                <w:sz w:val="20"/>
                <w:szCs w:val="20"/>
                <w:highlight w:val="none"/>
                <w:lang w:eastAsia="zh-CN"/>
              </w:rPr>
              <w:t>）</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决算数</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一、一般公共预算财政拨款收入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909.61</w:t>
            </w: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一、一般公共服务支出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426.51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二、政府性基金预算财政拨款收入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二、外交支出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三、国有资本经营预算财政拨款收入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三、国防支出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四、上级补助收入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四、公共安全支出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五、事业收入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五、教育支出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六、经营收入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六、科学技术支出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七、附属单位上缴收入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七、文化旅游体育与传媒支出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八、其他收入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八、社会保障和就业支出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九、卫生健康支出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十、节能环保支出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十一、城乡社区支出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auto"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十二、农林水支出</w:t>
            </w:r>
          </w:p>
        </w:tc>
        <w:tc>
          <w:tcPr>
            <w:tcW w:w="10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326.84</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十三、交通运输支出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十四、资源勘探信息等支出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十五、商业服务业等支出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十六、金融支出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十七、援助其他地区支出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十八、自然资源海洋气象等支出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十九、住房保障支出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二十、粮油物资储备支出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二十一、国有资本经营预算支出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二十二、灾害防治及应急管理支出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二十三、其他支出</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二十四、债务还本支出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3703" w:type="dxa"/>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二十五、债务付息支出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color w:val="000000"/>
                <w:sz w:val="20"/>
                <w:szCs w:val="20"/>
              </w:rPr>
              <w:t>二十六、抗疫特别国债安排的支出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本年收入合计</w:t>
            </w:r>
          </w:p>
        </w:tc>
        <w:tc>
          <w:tcPr>
            <w:tcW w:w="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本年支出合计</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使用非财政拨款结余</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结余分配</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年初结转和结余</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年末结转和结余</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r>
              <w:rPr>
                <w:rFonts w:hint="eastAsia" w:asciiTheme="minorEastAsia" w:hAnsiTheme="minorEastAsia" w:eastAsiaTheme="minorEastAsia" w:cstheme="minorEastAsia"/>
                <w:color w:val="000000"/>
                <w:kern w:val="0"/>
                <w:sz w:val="20"/>
                <w:szCs w:val="20"/>
              </w:rPr>
              <w:t>　</w:t>
            </w:r>
          </w:p>
        </w:tc>
      </w:tr>
    </w:tbl>
    <w:p>
      <w:pPr>
        <w:pStyle w:val="7"/>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7"/>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widowControl/>
        <w:spacing w:line="240" w:lineRule="auto"/>
        <w:jc w:val="left"/>
        <w:rPr>
          <w:rFonts w:ascii="黑体" w:hAnsi="仿宋" w:eastAsia="黑体"/>
          <w:sz w:val="32"/>
          <w:szCs w:val="32"/>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收入决算表 </w:t>
      </w:r>
    </w:p>
    <w:tbl>
      <w:tblPr>
        <w:tblStyle w:val="5"/>
        <w:tblW w:w="8971" w:type="dxa"/>
        <w:tblInd w:w="93" w:type="dxa"/>
        <w:tblLayout w:type="autofit"/>
        <w:tblCellMar>
          <w:top w:w="0" w:type="dxa"/>
          <w:left w:w="108" w:type="dxa"/>
          <w:bottom w:w="0" w:type="dxa"/>
          <w:right w:w="108" w:type="dxa"/>
        </w:tblCellMar>
      </w:tblPr>
      <w:tblGrid>
        <w:gridCol w:w="436"/>
        <w:gridCol w:w="436"/>
        <w:gridCol w:w="436"/>
        <w:gridCol w:w="1227"/>
        <w:gridCol w:w="882"/>
        <w:gridCol w:w="876"/>
        <w:gridCol w:w="668"/>
        <w:gridCol w:w="883"/>
        <w:gridCol w:w="870"/>
        <w:gridCol w:w="981"/>
        <w:gridCol w:w="1276"/>
      </w:tblGrid>
      <w:tr>
        <w:tblPrEx>
          <w:tblCellMar>
            <w:top w:w="0" w:type="dxa"/>
            <w:left w:w="108" w:type="dxa"/>
            <w:bottom w:w="0" w:type="dxa"/>
            <w:right w:w="108" w:type="dxa"/>
          </w:tblCellMar>
        </w:tblPrEx>
        <w:trPr>
          <w:trHeight w:val="600" w:hRule="atLeast"/>
        </w:trPr>
        <w:tc>
          <w:tcPr>
            <w:tcW w:w="8971" w:type="dxa"/>
            <w:gridSpan w:val="11"/>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27"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2"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公开02表</w:t>
            </w:r>
          </w:p>
        </w:tc>
      </w:tr>
      <w:tr>
        <w:tblPrEx>
          <w:tblCellMar>
            <w:top w:w="0" w:type="dxa"/>
            <w:left w:w="108" w:type="dxa"/>
            <w:bottom w:w="0" w:type="dxa"/>
            <w:right w:w="108" w:type="dxa"/>
          </w:tblCellMar>
        </w:tblPrEx>
        <w:trPr>
          <w:trHeight w:val="315" w:hRule="atLeast"/>
        </w:trPr>
        <w:tc>
          <w:tcPr>
            <w:tcW w:w="2535" w:type="dxa"/>
            <w:gridSpan w:val="4"/>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882"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tcBorders>
              <w:top w:val="nil"/>
              <w:left w:val="nil"/>
              <w:bottom w:val="nil"/>
              <w:right w:val="nil"/>
            </w:tcBorders>
            <w:shd w:val="clear" w:color="auto" w:fill="auto"/>
            <w:noWrap/>
            <w:vAlign w:val="bottom"/>
          </w:tcPr>
          <w:p>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883"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257" w:type="dxa"/>
            <w:gridSpan w:val="2"/>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2535"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w:t>
            </w:r>
          </w:p>
        </w:tc>
        <w:tc>
          <w:tcPr>
            <w:tcW w:w="88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本年收入合计</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财政拨款收入</w:t>
            </w:r>
          </w:p>
        </w:tc>
        <w:tc>
          <w:tcPr>
            <w:tcW w:w="6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上级补助收入</w:t>
            </w:r>
          </w:p>
        </w:tc>
        <w:tc>
          <w:tcPr>
            <w:tcW w:w="88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事业收入</w:t>
            </w:r>
          </w:p>
        </w:tc>
        <w:tc>
          <w:tcPr>
            <w:tcW w:w="87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经营收入</w:t>
            </w:r>
          </w:p>
        </w:tc>
        <w:tc>
          <w:tcPr>
            <w:tcW w:w="98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附属单位上缴收入</w:t>
            </w:r>
          </w:p>
        </w:tc>
        <w:tc>
          <w:tcPr>
            <w:tcW w:w="1276"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支出功能分类科目编码</w:t>
            </w:r>
          </w:p>
        </w:tc>
        <w:tc>
          <w:tcPr>
            <w:tcW w:w="1227"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882"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27" w:type="dxa"/>
            <w:vMerge w:val="continue"/>
            <w:tcBorders>
              <w:top w:val="nil"/>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2"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27" w:type="dxa"/>
            <w:vMerge w:val="continue"/>
            <w:tcBorders>
              <w:top w:val="nil"/>
              <w:left w:val="nil"/>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2"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vMerge w:val="continue"/>
            <w:tcBorders>
              <w:top w:val="single" w:color="000000" w:sz="8" w:space="0"/>
              <w:left w:val="nil"/>
              <w:bottom w:val="single" w:color="000000" w:sz="8" w:space="0"/>
              <w:right w:val="single" w:color="000000" w:sz="8"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308"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类</w:t>
            </w:r>
          </w:p>
        </w:tc>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款</w:t>
            </w:r>
          </w:p>
        </w:tc>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其他政府办公厅（室）及相关机构事务支出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2010501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2010601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2011101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2013101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2070101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2080506</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机关事业单位职业年金缴费支出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2110101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2130119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防灾救灾</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其他水利支出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对村级公益事业建设的补助</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2130705</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对村民委员会和村党支部的补助</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其他农村综合改革支出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2140106</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公路养护</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2169901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服务业基础设施建设</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2299999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注：本表反映部门本年度取得的各项收入情况。</w:t>
      </w:r>
    </w:p>
    <w:p>
      <w:pPr>
        <w:widowControl/>
        <w:spacing w:line="240" w:lineRule="auto"/>
        <w:jc w:val="left"/>
        <w:rPr>
          <w:rFonts w:ascii="黑体" w:hAnsi="仿宋" w:eastAsia="黑体"/>
          <w:sz w:val="32"/>
          <w:szCs w:val="32"/>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支出决算表</w:t>
      </w:r>
    </w:p>
    <w:tbl>
      <w:tblPr>
        <w:tblStyle w:val="5"/>
        <w:tblW w:w="8784" w:type="dxa"/>
        <w:tblInd w:w="93" w:type="dxa"/>
        <w:tblLayout w:type="fixed"/>
        <w:tblCellMar>
          <w:top w:w="0" w:type="dxa"/>
          <w:left w:w="108" w:type="dxa"/>
          <w:bottom w:w="0" w:type="dxa"/>
          <w:right w:w="108" w:type="dxa"/>
        </w:tblCellMar>
      </w:tblPr>
      <w:tblGrid>
        <w:gridCol w:w="436"/>
        <w:gridCol w:w="436"/>
        <w:gridCol w:w="411"/>
        <w:gridCol w:w="1428"/>
        <w:gridCol w:w="936"/>
        <w:gridCol w:w="1092"/>
        <w:gridCol w:w="840"/>
        <w:gridCol w:w="876"/>
        <w:gridCol w:w="804"/>
        <w:gridCol w:w="1289"/>
        <w:gridCol w:w="236"/>
      </w:tblGrid>
      <w:tr>
        <w:tblPrEx>
          <w:tblCellMar>
            <w:top w:w="0" w:type="dxa"/>
            <w:left w:w="108" w:type="dxa"/>
            <w:bottom w:w="0" w:type="dxa"/>
            <w:right w:w="108" w:type="dxa"/>
          </w:tblCellMar>
        </w:tblPrEx>
        <w:trPr>
          <w:gridAfter w:val="1"/>
          <w:wAfter w:w="236" w:type="dxa"/>
          <w:trHeight w:val="495" w:hRule="atLeast"/>
        </w:trPr>
        <w:tc>
          <w:tcPr>
            <w:tcW w:w="8548" w:type="dxa"/>
            <w:gridSpan w:val="10"/>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11"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428"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3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92"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40"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93" w:type="dxa"/>
            <w:gridSpan w:val="2"/>
            <w:tcBorders>
              <w:top w:val="nil"/>
              <w:left w:val="nil"/>
              <w:bottom w:val="nil"/>
              <w:right w:val="nil"/>
            </w:tcBorders>
            <w:shd w:val="clear" w:color="auto" w:fill="auto"/>
            <w:noWrap/>
            <w:vAlign w:val="bottom"/>
          </w:tcPr>
          <w:p>
            <w:pPr>
              <w:widowControl/>
              <w:spacing w:line="240" w:lineRule="auto"/>
              <w:ind w:firstLine="1000" w:firstLineChars="500"/>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公开03表</w:t>
            </w:r>
          </w:p>
        </w:tc>
        <w:tc>
          <w:tcPr>
            <w:tcW w:w="236"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4"/>
                <w:szCs w:val="24"/>
              </w:rPr>
            </w:pPr>
          </w:p>
        </w:tc>
      </w:tr>
      <w:tr>
        <w:tblPrEx>
          <w:tblCellMar>
            <w:top w:w="0" w:type="dxa"/>
            <w:left w:w="108" w:type="dxa"/>
            <w:bottom w:w="0" w:type="dxa"/>
            <w:right w:w="108" w:type="dxa"/>
          </w:tblCellMar>
        </w:tblPrEx>
        <w:trPr>
          <w:gridAfter w:val="1"/>
          <w:wAfter w:w="236" w:type="dxa"/>
          <w:trHeight w:val="315" w:hRule="atLeast"/>
        </w:trPr>
        <w:tc>
          <w:tcPr>
            <w:tcW w:w="2711" w:type="dxa"/>
            <w:gridSpan w:val="4"/>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936"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92" w:type="dxa"/>
            <w:tcBorders>
              <w:top w:val="nil"/>
              <w:left w:val="nil"/>
              <w:bottom w:val="nil"/>
              <w:right w:val="nil"/>
            </w:tcBorders>
            <w:shd w:val="clear" w:color="auto" w:fill="auto"/>
            <w:noWrap/>
            <w:vAlign w:val="bottom"/>
          </w:tcPr>
          <w:p>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840"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single" w:color="auto" w:sz="4" w:space="0"/>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93" w:type="dxa"/>
            <w:gridSpan w:val="2"/>
            <w:tcBorders>
              <w:top w:val="nil"/>
              <w:left w:val="nil"/>
              <w:bottom w:val="single" w:color="auto" w:sz="4" w:space="0"/>
              <w:right w:val="nil"/>
            </w:tcBorders>
            <w:shd w:val="clear" w:color="auto" w:fill="auto"/>
            <w:noWrap/>
            <w:vAlign w:val="bottom"/>
          </w:tcPr>
          <w:p>
            <w:pPr>
              <w:widowControl/>
              <w:spacing w:line="240" w:lineRule="auto"/>
              <w:ind w:right="79"/>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单位：万元</w:t>
            </w:r>
          </w:p>
        </w:tc>
      </w:tr>
      <w:tr>
        <w:tblPrEx>
          <w:tblCellMar>
            <w:top w:w="0" w:type="dxa"/>
            <w:left w:w="108" w:type="dxa"/>
            <w:bottom w:w="0" w:type="dxa"/>
            <w:right w:w="108" w:type="dxa"/>
          </w:tblCellMar>
        </w:tblPrEx>
        <w:trPr>
          <w:gridAfter w:val="1"/>
          <w:wAfter w:w="236" w:type="dxa"/>
          <w:trHeight w:val="308" w:hRule="atLeast"/>
        </w:trPr>
        <w:tc>
          <w:tcPr>
            <w:tcW w:w="2711"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w:t>
            </w:r>
          </w:p>
        </w:tc>
        <w:tc>
          <w:tcPr>
            <w:tcW w:w="9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本年支出合计</w:t>
            </w:r>
          </w:p>
        </w:tc>
        <w:tc>
          <w:tcPr>
            <w:tcW w:w="10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基本支出</w:t>
            </w:r>
          </w:p>
        </w:tc>
        <w:tc>
          <w:tcPr>
            <w:tcW w:w="840" w:type="dxa"/>
            <w:vMerge w:val="restart"/>
            <w:tcBorders>
              <w:top w:val="single" w:color="000000" w:sz="8" w:space="0"/>
              <w:left w:val="nil"/>
              <w:bottom w:val="single" w:color="000000"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项目支出</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上缴上级支出</w:t>
            </w:r>
          </w:p>
        </w:tc>
        <w:tc>
          <w:tcPr>
            <w:tcW w:w="8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经营支出</w:t>
            </w:r>
          </w:p>
        </w:tc>
        <w:tc>
          <w:tcPr>
            <w:tcW w:w="128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对附属单位补助支出</w:t>
            </w:r>
          </w:p>
        </w:tc>
      </w:tr>
      <w:tr>
        <w:tblPrEx>
          <w:tblCellMar>
            <w:top w:w="0" w:type="dxa"/>
            <w:left w:w="108" w:type="dxa"/>
            <w:bottom w:w="0" w:type="dxa"/>
            <w:right w:w="108" w:type="dxa"/>
          </w:tblCellMar>
        </w:tblPrEx>
        <w:trPr>
          <w:gridAfter w:val="1"/>
          <w:wAfter w:w="236" w:type="dxa"/>
          <w:trHeight w:val="976" w:hRule="atLeast"/>
        </w:trPr>
        <w:tc>
          <w:tcPr>
            <w:tcW w:w="128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支出功能分类科目编码</w:t>
            </w:r>
          </w:p>
        </w:tc>
        <w:tc>
          <w:tcPr>
            <w:tcW w:w="142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936"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92"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40" w:type="dxa"/>
            <w:vMerge w:val="continue"/>
            <w:tcBorders>
              <w:top w:val="single" w:color="000000" w:sz="8" w:space="0"/>
              <w:left w:val="nil"/>
              <w:bottom w:val="single" w:color="000000"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89" w:type="dxa"/>
            <w:vMerge w:val="continue"/>
            <w:tcBorders>
              <w:left w:val="single" w:color="auto" w:sz="4" w:space="0"/>
              <w:bottom w:val="nil"/>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gridAfter w:val="1"/>
          <w:wAfter w:w="236" w:type="dxa"/>
          <w:trHeight w:val="308"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类</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款</w:t>
            </w: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879.61</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其他政府办公厅（室）及相关机构事务支出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2010501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2010601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2011101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2013101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2070101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2080506</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机关事业单位职业年金缴费支出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2110101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2130119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防灾救灾</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其他水利支出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对村级公益事业建设的补助</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2130705</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对村民委员会和村党支部的补助</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其他农村综合改革支出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2140106</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公路养护</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2169901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服务业基础设施建设</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2299999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注：本表反映部门本年度各项支出情况。</w:t>
      </w:r>
    </w:p>
    <w:p>
      <w:pPr>
        <w:widowControl/>
        <w:spacing w:line="240" w:lineRule="auto"/>
        <w:jc w:val="left"/>
        <w:rPr>
          <w:rFonts w:ascii="黑体" w:hAnsi="仿宋" w:eastAsia="黑体"/>
          <w:sz w:val="32"/>
          <w:szCs w:val="32"/>
        </w:rPr>
      </w:pPr>
      <w:r>
        <w:rPr>
          <w:rFonts w:ascii="黑体" w:hAnsi="仿宋" w:eastAsia="黑体"/>
          <w:sz w:val="32"/>
          <w:szCs w:val="32"/>
        </w:rPr>
        <w:br w:type="page"/>
      </w: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财政拨款收入支出决算总表</w:t>
      </w:r>
    </w:p>
    <w:tbl>
      <w:tblPr>
        <w:tblStyle w:val="5"/>
        <w:tblW w:w="9612" w:type="dxa"/>
        <w:tblInd w:w="93" w:type="dxa"/>
        <w:tblLayout w:type="autofit"/>
        <w:tblCellMar>
          <w:top w:w="0" w:type="dxa"/>
          <w:left w:w="108" w:type="dxa"/>
          <w:bottom w:w="0" w:type="dxa"/>
          <w:right w:w="108" w:type="dxa"/>
        </w:tblCellMar>
      </w:tblPr>
      <w:tblGrid>
        <w:gridCol w:w="2452"/>
        <w:gridCol w:w="674"/>
        <w:gridCol w:w="142"/>
        <w:gridCol w:w="125"/>
        <w:gridCol w:w="1987"/>
        <w:gridCol w:w="816"/>
        <w:gridCol w:w="629"/>
        <w:gridCol w:w="363"/>
        <w:gridCol w:w="148"/>
        <w:gridCol w:w="844"/>
        <w:gridCol w:w="993"/>
        <w:gridCol w:w="439"/>
      </w:tblGrid>
      <w:tr>
        <w:tblPrEx>
          <w:tblCellMar>
            <w:top w:w="0" w:type="dxa"/>
            <w:left w:w="108" w:type="dxa"/>
            <w:bottom w:w="0" w:type="dxa"/>
            <w:right w:w="108" w:type="dxa"/>
          </w:tblCellMar>
        </w:tblPrEx>
        <w:trPr>
          <w:gridAfter w:val="1"/>
          <w:wAfter w:w="439" w:type="dxa"/>
          <w:trHeight w:val="540" w:hRule="atLeast"/>
        </w:trPr>
        <w:tc>
          <w:tcPr>
            <w:tcW w:w="8180" w:type="dxa"/>
            <w:gridSpan w:val="10"/>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财政拨款收入支出决算总表</w:t>
            </w:r>
          </w:p>
        </w:tc>
        <w:tc>
          <w:tcPr>
            <w:tcW w:w="993" w:type="dxa"/>
            <w:tcBorders>
              <w:top w:val="nil"/>
              <w:left w:val="nil"/>
              <w:bottom w:val="nil"/>
              <w:right w:val="nil"/>
            </w:tcBorders>
          </w:tcPr>
          <w:p>
            <w:pPr>
              <w:widowControl/>
              <w:spacing w:line="240" w:lineRule="auto"/>
              <w:jc w:val="center"/>
              <w:rPr>
                <w:rFonts w:ascii="黑体" w:hAnsi="Arial" w:eastAsia="黑体" w:cs="Arial"/>
                <w:color w:val="000000"/>
                <w:kern w:val="0"/>
                <w:sz w:val="36"/>
                <w:szCs w:val="36"/>
              </w:rPr>
            </w:pPr>
          </w:p>
        </w:tc>
      </w:tr>
      <w:tr>
        <w:tblPrEx>
          <w:tblCellMar>
            <w:top w:w="0" w:type="dxa"/>
            <w:left w:w="108" w:type="dxa"/>
            <w:bottom w:w="0" w:type="dxa"/>
            <w:right w:w="108" w:type="dxa"/>
          </w:tblCellMar>
        </w:tblPrEx>
        <w:trPr>
          <w:trHeight w:val="255" w:hRule="atLeast"/>
        </w:trPr>
        <w:tc>
          <w:tcPr>
            <w:tcW w:w="3126"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67"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3432" w:type="dxa"/>
            <w:gridSpan w:val="3"/>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511"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837" w:type="dxa"/>
            <w:gridSpan w:val="2"/>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公开04表</w:t>
            </w:r>
          </w:p>
        </w:tc>
        <w:tc>
          <w:tcPr>
            <w:tcW w:w="439"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r>
      <w:tr>
        <w:trPr>
          <w:gridAfter w:val="1"/>
          <w:wAfter w:w="439" w:type="dxa"/>
          <w:trHeight w:val="315" w:hRule="atLeast"/>
        </w:trPr>
        <w:tc>
          <w:tcPr>
            <w:tcW w:w="3126"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267" w:type="dxa"/>
            <w:gridSpan w:val="2"/>
            <w:tcBorders>
              <w:top w:val="nil"/>
              <w:left w:val="nil"/>
              <w:bottom w:val="nil"/>
              <w:right w:val="nil"/>
            </w:tcBorders>
            <w:shd w:val="clear" w:color="auto" w:fill="auto"/>
            <w:noWrap/>
            <w:vAlign w:val="bottom"/>
          </w:tcPr>
          <w:p>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3432" w:type="dxa"/>
            <w:gridSpan w:val="3"/>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511"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837" w:type="dxa"/>
            <w:gridSpan w:val="2"/>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tblPrEx>
          <w:tblCellMar>
            <w:top w:w="0" w:type="dxa"/>
            <w:left w:w="108" w:type="dxa"/>
            <w:bottom w:w="0" w:type="dxa"/>
            <w:right w:w="108" w:type="dxa"/>
          </w:tblCellMar>
        </w:tblPrEx>
        <w:trPr>
          <w:gridAfter w:val="1"/>
          <w:wAfter w:w="439" w:type="dxa"/>
          <w:trHeight w:val="308" w:hRule="atLeast"/>
        </w:trPr>
        <w:tc>
          <w:tcPr>
            <w:tcW w:w="3268"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收     入</w:t>
            </w:r>
          </w:p>
        </w:tc>
        <w:tc>
          <w:tcPr>
            <w:tcW w:w="590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     出</w:t>
            </w:r>
          </w:p>
        </w:tc>
      </w:tr>
      <w:tr>
        <w:tblPrEx>
          <w:tblCellMar>
            <w:top w:w="0" w:type="dxa"/>
            <w:left w:w="108" w:type="dxa"/>
            <w:bottom w:w="0" w:type="dxa"/>
            <w:right w:w="108" w:type="dxa"/>
          </w:tblCellMar>
        </w:tblPrEx>
        <w:trPr>
          <w:gridAfter w:val="1"/>
          <w:wAfter w:w="439" w:type="dxa"/>
          <w:trHeight w:val="1238"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    目</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项目（按功能分类）</w:t>
            </w:r>
          </w:p>
        </w:tc>
        <w:tc>
          <w:tcPr>
            <w:tcW w:w="816" w:type="dxa"/>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一般公共预算财政拨款</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政府性基金预算财政拨款</w:t>
            </w:r>
          </w:p>
        </w:tc>
        <w:tc>
          <w:tcPr>
            <w:tcW w:w="993" w:type="dxa"/>
            <w:tcBorders>
              <w:top w:val="single" w:color="auto" w:sz="4" w:space="0"/>
              <w:left w:val="single" w:color="auto" w:sz="4" w:space="0"/>
              <w:bottom w:val="single" w:color="auto" w:sz="4" w:space="0"/>
              <w:right w:val="single" w:color="auto" w:sz="4" w:space="0"/>
            </w:tcBorders>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国有资本经营预算财政拨款</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一、一般公共预算财政拨款</w:t>
            </w:r>
          </w:p>
        </w:tc>
        <w:tc>
          <w:tcPr>
            <w:tcW w:w="81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一、一般公共服务支出</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426.51</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426.51</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二、政府性基金预算财政拨款</w:t>
            </w:r>
          </w:p>
        </w:tc>
        <w:tc>
          <w:tcPr>
            <w:tcW w:w="81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二、外交支出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三、国有资本经营预算财政拨款</w:t>
            </w:r>
          </w:p>
        </w:tc>
        <w:tc>
          <w:tcPr>
            <w:tcW w:w="81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三、国防支出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四、公共安全支出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五、教育支出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六、科学技术支出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七、文化旅游体育与传媒支出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八、社会保障和就业支出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九、卫生健康支出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十、节能环保支出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十一、城乡社区支出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十二、农林水支出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326.84</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326.84</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十三、交通运输支出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十四、资源勘探信息等支出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十五、商业服务业等支出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十六、金融支出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auto"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十七、援助其他地区支出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十八、自然资源海洋气象等支出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十九、住房保障支出</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二十、粮油物资储备支出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二十一、国有资本经营预算支出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二十二、灾害防治及应急管理支出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auto" w:sz="4" w:space="0"/>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二十三、其他支出</w:t>
            </w:r>
          </w:p>
        </w:tc>
        <w:tc>
          <w:tcPr>
            <w:tcW w:w="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二十四、债务还本支出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二十五、债务付息支出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color w:val="000000"/>
                <w:sz w:val="20"/>
                <w:szCs w:val="20"/>
              </w:rPr>
              <w:t>二十六、抗疫特别国债安排的支出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本年收入合计</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909.61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本年支出合计</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年初财政拨款结转和结余</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年末财政拨款结转和结余</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一般公共预算财政拨款</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政府性基金预算财政拨款</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国有资本经营预算财政拨款</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注：本表反映部门本年度一般公共预算财政拨款、政府性基金预算财政拨款和国有资本经营预算财政拨款的总收支和年末结转结余情况。</w:t>
      </w:r>
    </w:p>
    <w:p>
      <w:pPr>
        <w:widowControl/>
        <w:spacing w:line="240" w:lineRule="auto"/>
        <w:jc w:val="left"/>
        <w:rPr>
          <w:rFonts w:ascii="黑体" w:hAnsi="仿宋" w:eastAsia="黑体"/>
          <w:sz w:val="32"/>
          <w:szCs w:val="32"/>
        </w:rPr>
      </w:pPr>
      <w:r>
        <w:rPr>
          <w:rFonts w:ascii="黑体" w:hAnsi="仿宋" w:eastAsia="黑体"/>
          <w:sz w:val="32"/>
          <w:szCs w:val="32"/>
        </w:rPr>
        <w:br w:type="page"/>
      </w: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一般公共预算财政拨款支出决算表</w:t>
      </w:r>
    </w:p>
    <w:p>
      <w:pPr>
        <w:pStyle w:val="8"/>
        <w:numPr>
          <w:ilvl w:val="0"/>
          <w:numId w:val="0"/>
        </w:numPr>
        <w:ind w:leftChars="0"/>
        <w:jc w:val="left"/>
        <w:rPr>
          <w:rFonts w:ascii="黑体" w:hAnsi="仿宋" w:eastAsia="黑体"/>
          <w:sz w:val="32"/>
          <w:szCs w:val="32"/>
        </w:rPr>
      </w:pPr>
    </w:p>
    <w:tbl>
      <w:tblPr>
        <w:tblStyle w:val="5"/>
        <w:tblW w:w="8216" w:type="dxa"/>
        <w:jc w:val="center"/>
        <w:tblLayout w:type="fixed"/>
        <w:tblCellMar>
          <w:top w:w="0" w:type="dxa"/>
          <w:left w:w="108" w:type="dxa"/>
          <w:bottom w:w="0" w:type="dxa"/>
          <w:right w:w="108" w:type="dxa"/>
        </w:tblCellMar>
      </w:tblPr>
      <w:tblGrid>
        <w:gridCol w:w="1291"/>
        <w:gridCol w:w="389"/>
        <w:gridCol w:w="875"/>
        <w:gridCol w:w="1429"/>
        <w:gridCol w:w="1576"/>
        <w:gridCol w:w="409"/>
        <w:gridCol w:w="2208"/>
        <w:gridCol w:w="39"/>
      </w:tblGrid>
      <w:tr>
        <w:tblPrEx>
          <w:tblCellMar>
            <w:top w:w="0" w:type="dxa"/>
            <w:left w:w="108" w:type="dxa"/>
            <w:bottom w:w="0" w:type="dxa"/>
            <w:right w:w="108" w:type="dxa"/>
          </w:tblCellMar>
        </w:tblPrEx>
        <w:trPr>
          <w:gridAfter w:val="1"/>
          <w:wAfter w:w="39" w:type="dxa"/>
          <w:trHeight w:val="540" w:hRule="atLeast"/>
          <w:jc w:val="center"/>
        </w:trPr>
        <w:tc>
          <w:tcPr>
            <w:tcW w:w="8177" w:type="dxa"/>
            <w:gridSpan w:val="7"/>
            <w:tcBorders>
              <w:top w:val="nil"/>
              <w:left w:val="nil"/>
              <w:bottom w:val="nil"/>
              <w:right w:val="nil"/>
            </w:tcBorders>
            <w:shd w:val="clear" w:color="auto" w:fill="auto"/>
            <w:noWrap/>
            <w:vAlign w:val="bottom"/>
          </w:tcPr>
          <w:p>
            <w:pPr>
              <w:widowControl/>
              <w:spacing w:line="240" w:lineRule="auto"/>
              <w:jc w:val="center"/>
              <w:rPr>
                <w:rFonts w:hint="eastAsia"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一般公共预算财政拨款支出决算表</w:t>
            </w:r>
          </w:p>
          <w:p>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公开05表</w:t>
            </w:r>
          </w:p>
        </w:tc>
      </w:tr>
      <w:tr>
        <w:tblPrEx>
          <w:tblCellMar>
            <w:top w:w="0" w:type="dxa"/>
            <w:left w:w="108" w:type="dxa"/>
            <w:bottom w:w="0" w:type="dxa"/>
            <w:right w:w="108" w:type="dxa"/>
          </w:tblCellMar>
        </w:tblPrEx>
        <w:trPr>
          <w:trHeight w:val="510" w:hRule="atLeast"/>
          <w:jc w:val="center"/>
        </w:trPr>
        <w:tc>
          <w:tcPr>
            <w:tcW w:w="1680" w:type="dxa"/>
            <w:gridSpan w:val="2"/>
            <w:tcBorders>
              <w:top w:val="nil"/>
              <w:left w:val="nil"/>
              <w:bottom w:val="nil"/>
              <w:right w:val="nil"/>
            </w:tcBorders>
            <w:shd w:val="clear" w:color="auto" w:fill="auto"/>
            <w:noWrap/>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部门：</w:t>
            </w:r>
          </w:p>
        </w:tc>
        <w:tc>
          <w:tcPr>
            <w:tcW w:w="875" w:type="dxa"/>
            <w:tcBorders>
              <w:top w:val="nil"/>
              <w:left w:val="nil"/>
              <w:bottom w:val="nil"/>
              <w:right w:val="nil"/>
            </w:tcBorders>
            <w:shd w:val="clear" w:color="auto" w:fill="auto"/>
            <w:noWrap/>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3005" w:type="dxa"/>
            <w:gridSpan w:val="2"/>
            <w:tcBorders>
              <w:top w:val="nil"/>
              <w:left w:val="nil"/>
              <w:bottom w:val="nil"/>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kern w:val="0"/>
                <w:sz w:val="20"/>
                <w:szCs w:val="20"/>
              </w:rPr>
            </w:pPr>
          </w:p>
        </w:tc>
        <w:tc>
          <w:tcPr>
            <w:tcW w:w="2656" w:type="dxa"/>
            <w:gridSpan w:val="3"/>
            <w:tcBorders>
              <w:top w:val="nil"/>
              <w:left w:val="nil"/>
              <w:bottom w:val="nil"/>
              <w:right w:val="nil"/>
            </w:tcBorders>
            <w:shd w:val="clear" w:color="auto" w:fill="auto"/>
            <w:noWrap/>
            <w:vAlign w:val="center"/>
          </w:tcPr>
          <w:p>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单位：万元</w:t>
            </w:r>
          </w:p>
        </w:tc>
      </w:tr>
      <w:tr>
        <w:trPr>
          <w:gridAfter w:val="1"/>
          <w:wAfter w:w="39" w:type="dxa"/>
          <w:trHeight w:val="510" w:hRule="atLeast"/>
          <w:jc w:val="center"/>
        </w:trPr>
        <w:tc>
          <w:tcPr>
            <w:tcW w:w="2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   目</w:t>
            </w:r>
          </w:p>
        </w:tc>
        <w:tc>
          <w:tcPr>
            <w:tcW w:w="562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本年支出</w:t>
            </w:r>
          </w:p>
        </w:tc>
      </w:tr>
      <w:tr>
        <w:tblPrEx>
          <w:tblCellMar>
            <w:top w:w="0" w:type="dxa"/>
            <w:left w:w="108" w:type="dxa"/>
            <w:bottom w:w="0" w:type="dxa"/>
            <w:right w:w="108" w:type="dxa"/>
          </w:tblCellMar>
        </w:tblPrEx>
        <w:trPr>
          <w:gridAfter w:val="1"/>
          <w:wAfter w:w="39" w:type="dxa"/>
          <w:trHeight w:val="540"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功能分类科目编码</w:t>
            </w:r>
          </w:p>
        </w:tc>
        <w:tc>
          <w:tcPr>
            <w:tcW w:w="1264"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小计</w:t>
            </w: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基本支出</w:t>
            </w:r>
          </w:p>
        </w:tc>
        <w:tc>
          <w:tcPr>
            <w:tcW w:w="22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项目支出</w:t>
            </w:r>
          </w:p>
        </w:tc>
      </w:tr>
      <w:tr>
        <w:tblPrEx>
          <w:tblCellMar>
            <w:top w:w="0" w:type="dxa"/>
            <w:left w:w="108" w:type="dxa"/>
            <w:bottom w:w="0" w:type="dxa"/>
            <w:right w:w="108" w:type="dxa"/>
          </w:tblCellMar>
        </w:tblPrEx>
        <w:trPr>
          <w:gridAfter w:val="1"/>
          <w:wAfter w:w="39" w:type="dxa"/>
          <w:trHeight w:val="435" w:hRule="atLeast"/>
          <w:jc w:val="center"/>
        </w:trPr>
        <w:tc>
          <w:tcPr>
            <w:tcW w:w="255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14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1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879.61</w:t>
            </w:r>
          </w:p>
        </w:tc>
        <w:tc>
          <w:tcPr>
            <w:tcW w:w="22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其他政府办公厅（室）及相关机构事务支出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2010501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2010601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2011101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2013101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2070101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2080506</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机关事业单位职业年金缴费支出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2110101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2130119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防灾救灾</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其他水利支出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对村级公益事业建设的补助</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2130705</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对村民委员会和村党支部的补助</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其他农村综合改革支出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2140106</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公路养护</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2169901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服务业基础设施建设</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2299999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pPr>
        <w:pStyle w:val="7"/>
        <w:rPr>
          <w:rFonts w:hint="eastAsia"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注：本表反映部门本年度一般公共预算财政拨款支出情况。</w:t>
      </w:r>
    </w:p>
    <w:p>
      <w:pPr>
        <w:pStyle w:val="7"/>
        <w:rPr>
          <w:rFonts w:hint="eastAsia" w:ascii="Times New Roman" w:hAnsi="Times New Roman" w:cs="Times New Roman" w:eastAsiaTheme="minorEastAsia"/>
        </w:rPr>
      </w:pPr>
    </w:p>
    <w:p>
      <w:pPr>
        <w:pStyle w:val="7"/>
        <w:rPr>
          <w:rFonts w:hint="eastAsia" w:ascii="Times New Roman" w:hAnsi="Times New Roman" w:cs="Times New Roman" w:eastAsiaTheme="minorEastAsia"/>
        </w:rPr>
      </w:pPr>
    </w:p>
    <w:p>
      <w:pPr>
        <w:pStyle w:val="8"/>
        <w:numPr>
          <w:ilvl w:val="0"/>
          <w:numId w:val="1"/>
        </w:numPr>
        <w:spacing w:line="240" w:lineRule="auto"/>
        <w:ind w:left="720" w:hanging="720" w:firstLineChars="0"/>
        <w:jc w:val="left"/>
        <w:rPr>
          <w:rFonts w:ascii="黑体" w:hAnsi="仿宋" w:eastAsia="黑体"/>
          <w:sz w:val="32"/>
          <w:szCs w:val="32"/>
        </w:rPr>
      </w:pPr>
      <w:r>
        <w:rPr>
          <w:rFonts w:hint="eastAsia" w:ascii="黑体" w:hAnsi="仿宋" w:eastAsia="黑体"/>
          <w:sz w:val="32"/>
          <w:szCs w:val="32"/>
        </w:rPr>
        <w:t xml:space="preserve">一般公共预算财政拨款基本支出决算表 </w:t>
      </w:r>
    </w:p>
    <w:tbl>
      <w:tblPr>
        <w:tblStyle w:val="5"/>
        <w:tblpPr w:leftFromText="180" w:rightFromText="180" w:vertAnchor="text" w:horzAnchor="page" w:tblpX="1030" w:tblpY="617"/>
        <w:tblOverlap w:val="never"/>
        <w:tblW w:w="10754" w:type="dxa"/>
        <w:tblInd w:w="0" w:type="dxa"/>
        <w:tblLayout w:type="fixed"/>
        <w:tblCellMar>
          <w:top w:w="0" w:type="dxa"/>
          <w:left w:w="108" w:type="dxa"/>
          <w:bottom w:w="0" w:type="dxa"/>
          <w:right w:w="108" w:type="dxa"/>
        </w:tblCellMar>
      </w:tblPr>
      <w:tblGrid>
        <w:gridCol w:w="749"/>
        <w:gridCol w:w="1650"/>
        <w:gridCol w:w="931"/>
        <w:gridCol w:w="380"/>
        <w:gridCol w:w="241"/>
        <w:gridCol w:w="620"/>
        <w:gridCol w:w="305"/>
        <w:gridCol w:w="1207"/>
        <w:gridCol w:w="852"/>
        <w:gridCol w:w="1020"/>
        <w:gridCol w:w="322"/>
        <w:gridCol w:w="1202"/>
        <w:gridCol w:w="1275"/>
      </w:tblGrid>
      <w:tr>
        <w:tblPrEx>
          <w:tblCellMar>
            <w:top w:w="0" w:type="dxa"/>
            <w:left w:w="108" w:type="dxa"/>
            <w:bottom w:w="0" w:type="dxa"/>
            <w:right w:w="108" w:type="dxa"/>
          </w:tblCellMar>
        </w:tblPrEx>
        <w:trPr>
          <w:trHeight w:val="440" w:hRule="atLeast"/>
        </w:trPr>
        <w:tc>
          <w:tcPr>
            <w:tcW w:w="10754" w:type="dxa"/>
            <w:gridSpan w:val="13"/>
            <w:tcBorders>
              <w:top w:val="nil"/>
              <w:left w:val="nil"/>
              <w:bottom w:val="nil"/>
              <w:right w:val="nil"/>
            </w:tcBorders>
            <w:shd w:val="clear" w:color="auto" w:fill="auto"/>
            <w:noWrap/>
            <w:vAlign w:val="center"/>
          </w:tcPr>
          <w:p>
            <w:pPr>
              <w:widowControl/>
              <w:spacing w:line="240" w:lineRule="auto"/>
              <w:jc w:val="center"/>
              <w:rPr>
                <w:rFonts w:ascii="黑体" w:hAnsi="Arial" w:eastAsia="黑体" w:cs="Arial"/>
                <w:color w:val="000000"/>
                <w:kern w:val="0"/>
                <w:sz w:val="44"/>
                <w:szCs w:val="44"/>
              </w:rPr>
            </w:pPr>
            <w:r>
              <w:rPr>
                <w:rFonts w:hint="eastAsia" w:ascii="黑体" w:hAnsi="Arial" w:eastAsia="黑体" w:cs="Arial"/>
                <w:color w:val="000000"/>
                <w:kern w:val="0"/>
                <w:sz w:val="36"/>
                <w:szCs w:val="36"/>
              </w:rPr>
              <w:t>一般公共预算财政拨款基本支出决算表</w:t>
            </w:r>
          </w:p>
        </w:tc>
      </w:tr>
      <w:tr>
        <w:tblPrEx>
          <w:tblCellMar>
            <w:top w:w="0" w:type="dxa"/>
            <w:left w:w="108" w:type="dxa"/>
            <w:bottom w:w="0" w:type="dxa"/>
            <w:right w:w="108" w:type="dxa"/>
          </w:tblCellMar>
        </w:tblPrEx>
        <w:trPr>
          <w:trHeight w:val="416" w:hRule="atLeast"/>
        </w:trPr>
        <w:tc>
          <w:tcPr>
            <w:tcW w:w="3710" w:type="dxa"/>
            <w:gridSpan w:val="4"/>
            <w:tcBorders>
              <w:top w:val="nil"/>
              <w:left w:val="nil"/>
              <w:bottom w:val="nil"/>
              <w:right w:val="nil"/>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41"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25"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59"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322"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477" w:type="dxa"/>
            <w:gridSpan w:val="2"/>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公开06表</w:t>
            </w:r>
          </w:p>
        </w:tc>
      </w:tr>
      <w:tr>
        <w:trPr>
          <w:trHeight w:val="416" w:hRule="atLeast"/>
        </w:trPr>
        <w:tc>
          <w:tcPr>
            <w:tcW w:w="3710" w:type="dxa"/>
            <w:gridSpan w:val="4"/>
            <w:tcBorders>
              <w:top w:val="nil"/>
              <w:left w:val="nil"/>
              <w:bottom w:val="nil"/>
              <w:right w:val="nil"/>
            </w:tcBorders>
            <w:shd w:val="clear" w:color="auto" w:fill="auto"/>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241"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25"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59" w:type="dxa"/>
            <w:gridSpan w:val="2"/>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322" w:type="dxa"/>
            <w:tcBorders>
              <w:top w:val="nil"/>
              <w:left w:val="nil"/>
              <w:bottom w:val="nil"/>
              <w:right w:val="nil"/>
            </w:tcBorders>
            <w:shd w:val="clear" w:color="auto" w:fill="auto"/>
            <w:noWrap/>
            <w:vAlign w:val="bottom"/>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477" w:type="dxa"/>
            <w:gridSpan w:val="2"/>
            <w:tcBorders>
              <w:top w:val="nil"/>
              <w:left w:val="nil"/>
              <w:bottom w:val="nil"/>
              <w:right w:val="nil"/>
            </w:tcBorders>
            <w:shd w:val="clear" w:color="auto" w:fill="auto"/>
            <w:noWrap/>
            <w:vAlign w:val="bottom"/>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tblPrEx>
          <w:tblCellMar>
            <w:top w:w="0" w:type="dxa"/>
            <w:left w:w="108" w:type="dxa"/>
            <w:bottom w:w="0" w:type="dxa"/>
            <w:right w:w="108" w:type="dxa"/>
          </w:tblCellMar>
        </w:tblPrEx>
        <w:trPr>
          <w:trHeight w:val="245" w:hRule="atLeast"/>
        </w:trPr>
        <w:tc>
          <w:tcPr>
            <w:tcW w:w="33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人员经费</w:t>
            </w:r>
          </w:p>
        </w:tc>
        <w:tc>
          <w:tcPr>
            <w:tcW w:w="7424"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公用经费</w:t>
            </w:r>
          </w:p>
        </w:tc>
      </w:tr>
      <w:tr>
        <w:tblPrEx>
          <w:tblCellMar>
            <w:top w:w="0" w:type="dxa"/>
            <w:left w:w="108" w:type="dxa"/>
            <w:bottom w:w="0" w:type="dxa"/>
            <w:right w:w="108" w:type="dxa"/>
          </w:tblCellMar>
        </w:tblPrEx>
        <w:trPr>
          <w:trHeight w:val="312" w:hRule="atLeast"/>
        </w:trPr>
        <w:tc>
          <w:tcPr>
            <w:tcW w:w="7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经济分类科目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编码</w:t>
            </w:r>
          </w:p>
        </w:tc>
        <w:tc>
          <w:tcPr>
            <w:tcW w:w="16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9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c>
          <w:tcPr>
            <w:tcW w:w="1241"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经济分类科目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编码</w:t>
            </w:r>
          </w:p>
        </w:tc>
        <w:tc>
          <w:tcPr>
            <w:tcW w:w="1512"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8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经济分类科目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编码</w:t>
            </w:r>
          </w:p>
        </w:tc>
        <w:tc>
          <w:tcPr>
            <w:tcW w:w="1524"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16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93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41"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2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16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93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41"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2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9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工资福利支出</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549.29</w:t>
            </w:r>
          </w:p>
        </w:tc>
        <w:tc>
          <w:tcPr>
            <w:tcW w:w="1241"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w:t>
            </w:r>
          </w:p>
        </w:tc>
        <w:tc>
          <w:tcPr>
            <w:tcW w:w="1512"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商品和服务支出</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323.32</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30703</w:t>
            </w:r>
          </w:p>
        </w:tc>
        <w:tc>
          <w:tcPr>
            <w:tcW w:w="152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国内债务发行费用</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30101</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基本工资</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369.18</w:t>
            </w:r>
          </w:p>
        </w:tc>
        <w:tc>
          <w:tcPr>
            <w:tcW w:w="1241"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30201</w:t>
            </w:r>
          </w:p>
        </w:tc>
        <w:tc>
          <w:tcPr>
            <w:tcW w:w="1512"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办公费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25.28</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30704</w:t>
            </w:r>
          </w:p>
        </w:tc>
        <w:tc>
          <w:tcPr>
            <w:tcW w:w="152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国外债务发行费用</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30102</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津贴补贴</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30202</w:t>
            </w:r>
          </w:p>
        </w:tc>
        <w:tc>
          <w:tcPr>
            <w:tcW w:w="1512"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印刷费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9.54</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w:t>
            </w:r>
          </w:p>
        </w:tc>
        <w:tc>
          <w:tcPr>
            <w:tcW w:w="152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资本性支出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30103</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奖金</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27.57</w:t>
            </w:r>
          </w:p>
        </w:tc>
        <w:tc>
          <w:tcPr>
            <w:tcW w:w="1241"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30203</w:t>
            </w:r>
          </w:p>
        </w:tc>
        <w:tc>
          <w:tcPr>
            <w:tcW w:w="1512"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咨询费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31001</w:t>
            </w:r>
          </w:p>
        </w:tc>
        <w:tc>
          <w:tcPr>
            <w:tcW w:w="152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房屋建筑物购建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pPr>
        <w:pStyle w:val="7"/>
        <w:rPr>
          <w:rFonts w:hint="eastAsia" w:ascii="Times New Roman" w:hAnsi="Times New Roman" w:cs="Times New Roman" w:eastAsiaTheme="minorEastAsia"/>
        </w:rPr>
        <w:sectPr>
          <w:footerReference r:id="rId4" w:type="default"/>
          <w:pgSz w:w="11906" w:h="16838"/>
          <w:pgMar w:top="1702" w:right="1800" w:bottom="184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5"/>
        <w:tblpPr w:leftFromText="180" w:rightFromText="180" w:vertAnchor="text" w:horzAnchor="page" w:tblpX="793" w:tblpY="320"/>
        <w:tblOverlap w:val="never"/>
        <w:tblW w:w="10754" w:type="dxa"/>
        <w:tblInd w:w="0" w:type="dxa"/>
        <w:tblLayout w:type="fixed"/>
        <w:tblCellMar>
          <w:top w:w="0" w:type="dxa"/>
          <w:left w:w="108" w:type="dxa"/>
          <w:bottom w:w="0" w:type="dxa"/>
          <w:right w:w="108" w:type="dxa"/>
        </w:tblCellMar>
      </w:tblPr>
      <w:tblGrid>
        <w:gridCol w:w="749"/>
        <w:gridCol w:w="1650"/>
        <w:gridCol w:w="931"/>
        <w:gridCol w:w="1241"/>
        <w:gridCol w:w="1512"/>
        <w:gridCol w:w="852"/>
        <w:gridCol w:w="1020"/>
        <w:gridCol w:w="1524"/>
        <w:gridCol w:w="1275"/>
      </w:tblGrid>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30106</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伙食补助费</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30204</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手续费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31002</w:t>
            </w: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办公设备购置</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30107</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绩效工资</w:t>
            </w:r>
          </w:p>
        </w:tc>
        <w:tc>
          <w:tcPr>
            <w:tcW w:w="9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30205</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水费</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31003</w:t>
            </w:r>
          </w:p>
        </w:tc>
        <w:tc>
          <w:tcPr>
            <w:tcW w:w="152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专用设备购置</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30108</w:t>
            </w:r>
          </w:p>
        </w:tc>
        <w:tc>
          <w:tcPr>
            <w:tcW w:w="165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机关事业单位基本养老保险缴费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48.93</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30206</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14.22</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31005</w:t>
            </w:r>
          </w:p>
        </w:tc>
        <w:tc>
          <w:tcPr>
            <w:tcW w:w="152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基础设施建设</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30109</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职业年金缴费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30207</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邮电费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15.28</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31006</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大型修缮</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20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30110</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职工基本医疗保险缴费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38.63</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30208</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取暖费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31007</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信息网络及软件购置更新</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20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30111</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公务员医疗补助缴费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8.86</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30209</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物业管理费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31008</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物资储备</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30112</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其他社会保障缴费</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0.90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30211</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差旅费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7.58</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31009</w:t>
            </w:r>
          </w:p>
        </w:tc>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土地补偿</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30113</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住房公积金</w:t>
            </w:r>
          </w:p>
        </w:tc>
        <w:tc>
          <w:tcPr>
            <w:tcW w:w="9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30212</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因公出国（境）费用</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31010</w:t>
            </w:r>
          </w:p>
        </w:tc>
        <w:tc>
          <w:tcPr>
            <w:tcW w:w="152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安置补助</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30114</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医疗费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30213</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维修（护）费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31011</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地上附着物和青苗补偿</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30199</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其他工资福利支出</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30214</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租赁费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31012</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拆迁补偿</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对个人和家庭的补助</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30215</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会议费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3.78</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31013</w:t>
            </w: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公务用车购置</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30301</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离休费</w:t>
            </w:r>
          </w:p>
        </w:tc>
        <w:tc>
          <w:tcPr>
            <w:tcW w:w="9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30216</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培训费</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0.53</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31019</w:t>
            </w:r>
          </w:p>
        </w:tc>
        <w:tc>
          <w:tcPr>
            <w:tcW w:w="152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其他交通工具购置</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30302</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退休费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30217</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公务接待费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2.60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31021</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文物和陈列品购置</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30303</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退职（役）费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30218</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专用材料费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31022</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无形资产购置</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30304</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抚恤金</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30224</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被装购置费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31099</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其他资本性支出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30305</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生活补助</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30225</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专用燃料费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w:t>
            </w:r>
          </w:p>
        </w:tc>
        <w:tc>
          <w:tcPr>
            <w:tcW w:w="152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对企业补助</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30306</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救济费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30226</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劳务费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31201</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资本金注入</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30307</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医疗费补助</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30227</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委托业务费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224.84</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31203</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政府投资基金股权投资</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30308</w:t>
            </w:r>
          </w:p>
        </w:tc>
        <w:tc>
          <w:tcPr>
            <w:tcW w:w="165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助学金</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30228</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工会经费</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31204</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费用补贴</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30309</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奖励金</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30229</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福利费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31205</w:t>
            </w: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利息补贴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30310</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个人农业生产补贴</w:t>
            </w:r>
          </w:p>
        </w:tc>
        <w:tc>
          <w:tcPr>
            <w:tcW w:w="9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30231</w:t>
            </w:r>
          </w:p>
        </w:tc>
        <w:tc>
          <w:tcPr>
            <w:tcW w:w="151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公务用车运行维护费</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3.55</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31299</w:t>
            </w:r>
          </w:p>
        </w:tc>
        <w:tc>
          <w:tcPr>
            <w:tcW w:w="152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其他对企业补助</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30311</w:t>
            </w:r>
          </w:p>
        </w:tc>
        <w:tc>
          <w:tcPr>
            <w:tcW w:w="165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代缴社会保险费</w:t>
            </w: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30239</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其他交通费用</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16.11</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其他支出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rPr>
          <w:trHeight w:val="587"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30240</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税金及附加费用</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39906</w:t>
            </w:r>
          </w:p>
        </w:tc>
        <w:tc>
          <w:tcPr>
            <w:tcW w:w="152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赠与</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4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30299</w:t>
            </w:r>
          </w:p>
        </w:tc>
        <w:tc>
          <w:tcPr>
            <w:tcW w:w="1512"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其他商品和服务支出</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39907</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国家赔偿费用支出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债务利息及费用支出</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39908</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对民间非营利组织和群众性自治组织补贴</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4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30701</w:t>
            </w:r>
          </w:p>
        </w:tc>
        <w:tc>
          <w:tcPr>
            <w:tcW w:w="1512"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国内债务付息</w:t>
            </w:r>
          </w:p>
        </w:tc>
        <w:tc>
          <w:tcPr>
            <w:tcW w:w="8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39999</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其他支出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30702</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国外债务付息</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20" w:hRule="atLeast"/>
        </w:trPr>
        <w:tc>
          <w:tcPr>
            <w:tcW w:w="23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人员经费合计</w:t>
            </w:r>
          </w:p>
        </w:tc>
        <w:tc>
          <w:tcPr>
            <w:tcW w:w="9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556.2</w:t>
            </w:r>
            <w:r>
              <w:rPr>
                <w:rFonts w:hint="eastAsia" w:asciiTheme="minorEastAsia" w:hAnsiTheme="minorEastAsia" w:eastAsiaTheme="minorEastAsia" w:cstheme="minorEastAsia"/>
                <w:color w:val="000000"/>
                <w:kern w:val="0"/>
                <w:sz w:val="20"/>
                <w:szCs w:val="20"/>
                <w:lang w:val="en-US" w:eastAsia="zh-CN"/>
              </w:rPr>
              <w:t>9</w:t>
            </w:r>
          </w:p>
        </w:tc>
        <w:tc>
          <w:tcPr>
            <w:tcW w:w="614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公用经费合计</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323.32</w:t>
            </w:r>
          </w:p>
        </w:tc>
      </w:tr>
    </w:tbl>
    <w:p>
      <w:pPr>
        <w:pStyle w:val="7"/>
        <w:rPr>
          <w:rFonts w:hint="eastAsia" w:ascii="Times New Roman" w:hAnsi="Times New Roman" w:cs="Times New Roman" w:eastAsiaTheme="minorEastAsia"/>
        </w:rPr>
      </w:pPr>
    </w:p>
    <w:p/>
    <w:p>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注：本表反映部门本年度一般公共预算财政拨款基本支出明细情况。</w:t>
      </w:r>
    </w:p>
    <w:p>
      <w:pPr>
        <w:widowControl/>
        <w:spacing w:line="240" w:lineRule="auto"/>
        <w:jc w:val="left"/>
        <w:rPr>
          <w:rFonts w:ascii="黑体" w:hAnsi="仿宋" w:eastAsia="黑体"/>
          <w:sz w:val="32"/>
          <w:szCs w:val="32"/>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一般公共预算财政拨款“三公”经费支出决算表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themeColor="text1"/>
          <w:kern w:val="0"/>
          <w:sz w:val="36"/>
          <w:szCs w:val="36"/>
          <w14:textFill>
            <w14:solidFill>
              <w14:schemeClr w14:val="tx1"/>
            </w14:solidFill>
          </w14:textFill>
        </w:rPr>
        <w:t>一般公共预算财政拨款“三公”经费支出决算表</w:t>
      </w:r>
    </w:p>
    <w:tbl>
      <w:tblPr>
        <w:tblStyle w:val="5"/>
        <w:tblW w:w="8375" w:type="dxa"/>
        <w:jc w:val="center"/>
        <w:tblLayout w:type="autofit"/>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shd w:val="clear" w:color="auto" w:fill="auto"/>
            <w:noWrap/>
            <w:vAlign w:val="center"/>
          </w:tcPr>
          <w:p>
            <w:pPr>
              <w:widowControl/>
              <w:spacing w:line="240" w:lineRule="auto"/>
              <w:jc w:val="center"/>
              <w:rPr>
                <w:rFonts w:ascii="黑体" w:hAnsi="宋体" w:eastAsia="黑体" w:cs="宋体"/>
                <w:kern w:val="0"/>
                <w:sz w:val="20"/>
                <w:szCs w:val="20"/>
              </w:rPr>
            </w:pPr>
          </w:p>
        </w:tc>
        <w:tc>
          <w:tcPr>
            <w:tcW w:w="780" w:type="dxa"/>
            <w:tcBorders>
              <w:top w:val="nil"/>
              <w:left w:val="nil"/>
              <w:bottom w:val="nil"/>
              <w:right w:val="nil"/>
            </w:tcBorders>
            <w:shd w:val="clear" w:color="auto" w:fill="auto"/>
            <w:noWrap/>
            <w:vAlign w:val="center"/>
          </w:tcPr>
          <w:p>
            <w:pPr>
              <w:widowControl/>
              <w:spacing w:line="240" w:lineRule="auto"/>
              <w:jc w:val="center"/>
              <w:rPr>
                <w:rFonts w:ascii="黑体" w:hAnsi="宋体" w:eastAsia="黑体" w:cs="宋体"/>
                <w:kern w:val="0"/>
                <w:sz w:val="20"/>
                <w:szCs w:val="20"/>
              </w:rPr>
            </w:pPr>
          </w:p>
        </w:tc>
        <w:tc>
          <w:tcPr>
            <w:tcW w:w="3415" w:type="dxa"/>
            <w:tcBorders>
              <w:top w:val="nil"/>
              <w:left w:val="nil"/>
              <w:bottom w:val="nil"/>
              <w:right w:val="nil"/>
            </w:tcBorders>
            <w:shd w:val="clear" w:color="000000" w:fill="FFFFFF"/>
            <w:noWrap/>
            <w:vAlign w:val="bottom"/>
          </w:tcPr>
          <w:p>
            <w:pPr>
              <w:widowControl/>
              <w:spacing w:line="240" w:lineRule="auto"/>
              <w:jc w:val="right"/>
              <w:rPr>
                <w:rFonts w:ascii="宋体" w:hAnsi="宋体" w:eastAsia="宋体" w:cs="宋体"/>
                <w:kern w:val="0"/>
                <w:sz w:val="20"/>
                <w:szCs w:val="20"/>
              </w:rPr>
            </w:pPr>
            <w:r>
              <w:rPr>
                <w:rFonts w:hint="eastAsia" w:ascii="宋体" w:hAnsi="宋体" w:eastAsia="宋体" w:cs="宋体"/>
                <w:kern w:val="0"/>
                <w:sz w:val="20"/>
                <w:szCs w:val="20"/>
              </w:rPr>
              <w:t>公开07表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78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0"/>
                <w:szCs w:val="20"/>
              </w:rPr>
            </w:pPr>
          </w:p>
        </w:tc>
        <w:tc>
          <w:tcPr>
            <w:tcW w:w="3415"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341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7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4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6.15</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 公务用车购置及运行维护费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3.55</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3.55</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 公务接待费</w:t>
            </w:r>
          </w:p>
        </w:tc>
        <w:tc>
          <w:tcPr>
            <w:tcW w:w="7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4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注：本表反映部门本年度“三公”经费支出决算情况，包括当年一般公共预算财政拨款和以前年度结转资金安排的实际支出。</w:t>
            </w:r>
          </w:p>
        </w:tc>
      </w:tr>
    </w:tbl>
    <w:p>
      <w:pPr>
        <w:pStyle w:val="7"/>
        <w:rPr>
          <w:rFonts w:ascii="Times New Roman" w:hAnsi="Times New Roman" w:cs="Times New Roman" w:eastAsiaTheme="minorEastAsia"/>
        </w:rPr>
      </w:pPr>
    </w:p>
    <w:p>
      <w:pPr>
        <w:widowControl/>
        <w:spacing w:line="240" w:lineRule="auto"/>
        <w:jc w:val="left"/>
        <w:rPr>
          <w:rFonts w:hint="eastAsia" w:ascii="黑体" w:hAnsi="仿宋" w:eastAsia="黑体"/>
          <w:sz w:val="32"/>
          <w:szCs w:val="32"/>
        </w:rPr>
      </w:pPr>
    </w:p>
    <w:p>
      <w:pPr>
        <w:widowControl/>
        <w:spacing w:line="240" w:lineRule="auto"/>
        <w:jc w:val="left"/>
        <w:rPr>
          <w:rFonts w:ascii="黑体" w:hAnsi="仿宋" w:eastAsia="黑体"/>
          <w:sz w:val="32"/>
          <w:szCs w:val="32"/>
        </w:rPr>
      </w:pPr>
      <w:r>
        <w:rPr>
          <w:rFonts w:hint="eastAsia" w:ascii="黑体" w:hAnsi="仿宋" w:eastAsia="黑体"/>
          <w:sz w:val="32"/>
          <w:szCs w:val="32"/>
        </w:rPr>
        <w:t xml:space="preserve">八、政府性基金预算财政拨款收入支出决算表 </w:t>
      </w:r>
    </w:p>
    <w:tbl>
      <w:tblPr>
        <w:tblStyle w:val="5"/>
        <w:tblW w:w="9168" w:type="dxa"/>
        <w:tblInd w:w="93" w:type="dxa"/>
        <w:tblLayout w:type="autofit"/>
        <w:tblCellMar>
          <w:top w:w="0" w:type="dxa"/>
          <w:left w:w="108" w:type="dxa"/>
          <w:bottom w:w="0" w:type="dxa"/>
          <w:right w:w="108" w:type="dxa"/>
        </w:tblCellMar>
      </w:tblPr>
      <w:tblGrid>
        <w:gridCol w:w="436"/>
        <w:gridCol w:w="436"/>
        <w:gridCol w:w="436"/>
        <w:gridCol w:w="1280"/>
        <w:gridCol w:w="1000"/>
        <w:gridCol w:w="1020"/>
        <w:gridCol w:w="1020"/>
        <w:gridCol w:w="1160"/>
        <w:gridCol w:w="1150"/>
        <w:gridCol w:w="1230"/>
      </w:tblGrid>
      <w:tr>
        <w:tblPrEx>
          <w:tblCellMar>
            <w:top w:w="0" w:type="dxa"/>
            <w:left w:w="108" w:type="dxa"/>
            <w:bottom w:w="0" w:type="dxa"/>
            <w:right w:w="108" w:type="dxa"/>
          </w:tblCellMar>
        </w:tblPrEx>
        <w:trPr>
          <w:trHeight w:val="735" w:hRule="atLeast"/>
        </w:trPr>
        <w:tc>
          <w:tcPr>
            <w:tcW w:w="9168" w:type="dxa"/>
            <w:gridSpan w:val="10"/>
            <w:tcBorders>
              <w:top w:val="nil"/>
              <w:left w:val="nil"/>
              <w:bottom w:val="nil"/>
              <w:right w:val="nil"/>
            </w:tcBorders>
            <w:shd w:val="clear" w:color="auto" w:fill="auto"/>
            <w:noWrap/>
            <w:vAlign w:val="center"/>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15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230"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kern w:val="0"/>
                <w:sz w:val="20"/>
                <w:szCs w:val="20"/>
              </w:rPr>
              <w:t>公开08表</w:t>
            </w:r>
          </w:p>
        </w:tc>
      </w:tr>
      <w:tr>
        <w:tblPrEx>
          <w:tblCellMar>
            <w:top w:w="0" w:type="dxa"/>
            <w:left w:w="108" w:type="dxa"/>
            <w:bottom w:w="0" w:type="dxa"/>
            <w:right w:w="108" w:type="dxa"/>
          </w:tblCellMar>
        </w:tblPrEx>
        <w:trPr>
          <w:trHeight w:val="315" w:hRule="atLeast"/>
        </w:trPr>
        <w:tc>
          <w:tcPr>
            <w:tcW w:w="2588" w:type="dxa"/>
            <w:gridSpan w:val="4"/>
            <w:tcBorders>
              <w:top w:val="nil"/>
              <w:left w:val="nil"/>
              <w:bottom w:val="nil"/>
              <w:right w:val="nil"/>
            </w:tcBorders>
            <w:shd w:val="clear" w:color="auto" w:fill="auto"/>
            <w:noWrap/>
            <w:vAlign w:val="bottom"/>
          </w:tcPr>
          <w:p>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w:t>
            </w:r>
          </w:p>
        </w:tc>
        <w:tc>
          <w:tcPr>
            <w:tcW w:w="100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380"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258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年初结转和结余</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本年收入</w:t>
            </w:r>
          </w:p>
        </w:tc>
        <w:tc>
          <w:tcPr>
            <w:tcW w:w="3330" w:type="dxa"/>
            <w:gridSpan w:val="3"/>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本年支出</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支出功能分类科目编码</w:t>
            </w:r>
          </w:p>
        </w:tc>
        <w:tc>
          <w:tcPr>
            <w:tcW w:w="128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02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160" w:type="dxa"/>
            <w:vMerge w:val="restart"/>
            <w:tcBorders>
              <w:top w:val="nil"/>
              <w:left w:val="single" w:color="000000" w:sz="4" w:space="0"/>
              <w:bottom w:val="nil"/>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15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28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02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160" w:type="dxa"/>
            <w:vMerge w:val="continue"/>
            <w:tcBorders>
              <w:top w:val="nil"/>
              <w:left w:val="single" w:color="000000" w:sz="4" w:space="0"/>
              <w:bottom w:val="nil"/>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15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w:t>
            </w:r>
          </w:p>
        </w:tc>
        <w:tc>
          <w:tcPr>
            <w:tcW w:w="12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116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c>
          <w:tcPr>
            <w:tcW w:w="115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c>
          <w:tcPr>
            <w:tcW w:w="123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12</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6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pStyle w:val="7"/>
        <w:rPr>
          <w:rFonts w:ascii="Times New Roman" w:hAnsi="Times New Roman" w:cs="Times New Roman" w:eastAsiaTheme="minorEastAsia"/>
        </w:rPr>
      </w:pPr>
      <w:r>
        <w:rPr>
          <w:rFonts w:hint="eastAsia" w:ascii="Times New Roman" w:hAnsi="Times New Roman" w:cs="Times New Roman" w:eastAsiaTheme="minorEastAsia"/>
        </w:rPr>
        <w:t>注：1.</w:t>
      </w:r>
      <w:r>
        <w:rPr>
          <w:rFonts w:hint="eastAsia"/>
        </w:rPr>
        <w:t xml:space="preserve"> </w:t>
      </w:r>
      <w:r>
        <w:rPr>
          <w:rFonts w:hint="eastAsia" w:ascii="Times New Roman" w:hAnsi="Times New Roman" w:cs="Times New Roman" w:eastAsiaTheme="minorEastAsia"/>
        </w:rPr>
        <w:t>本表反映部门本年度政府性基金预算财政拨款收入、支出及结转和结余情况。</w:t>
      </w:r>
    </w:p>
    <w:p>
      <w:pPr>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 本</w:t>
      </w:r>
      <w:r>
        <w:rPr>
          <w:rFonts w:hint="eastAsia" w:ascii="Times New Roman" w:hAnsi="Times New Roman" w:cs="Times New Roman"/>
          <w:color w:val="000000"/>
          <w:kern w:val="0"/>
          <w:sz w:val="24"/>
          <w:szCs w:val="24"/>
          <w:lang w:eastAsia="zh-CN"/>
        </w:rPr>
        <w:t>单位</w:t>
      </w:r>
      <w:r>
        <w:rPr>
          <w:rFonts w:hint="eastAsia" w:ascii="Times New Roman" w:hAnsi="Times New Roman" w:cs="Times New Roman"/>
          <w:color w:val="000000"/>
          <w:kern w:val="0"/>
          <w:sz w:val="24"/>
          <w:szCs w:val="24"/>
          <w:lang w:val="en-US" w:eastAsia="zh-CN"/>
        </w:rPr>
        <w:t>2022</w:t>
      </w:r>
      <w:r>
        <w:rPr>
          <w:rFonts w:hint="eastAsia" w:ascii="Times New Roman" w:hAnsi="Times New Roman" w:cs="Times New Roman"/>
          <w:color w:val="000000"/>
          <w:kern w:val="0"/>
          <w:sz w:val="24"/>
          <w:szCs w:val="24"/>
        </w:rPr>
        <w:t>年度没有使用政府性基金预算拨款安排的收支。</w:t>
      </w:r>
    </w:p>
    <w:p>
      <w:pPr>
        <w:widowControl/>
        <w:spacing w:line="240" w:lineRule="auto"/>
        <w:jc w:val="left"/>
        <w:rPr>
          <w:rFonts w:ascii="Times New Roman" w:hAnsi="Times New Roman" w:cs="Times New Roman" w:eastAsiaTheme="minorEastAsia"/>
        </w:rPr>
      </w:pPr>
      <w:r>
        <w:rPr>
          <w:rFonts w:hint="eastAsia" w:ascii="黑体" w:hAnsi="仿宋" w:eastAsia="黑体"/>
          <w:sz w:val="32"/>
          <w:szCs w:val="32"/>
        </w:rPr>
        <w:t>九、国有资本经营预算财政拨款支出决算表</w:t>
      </w:r>
    </w:p>
    <w:tbl>
      <w:tblPr>
        <w:tblStyle w:val="5"/>
        <w:tblW w:w="7940" w:type="dxa"/>
        <w:jc w:val="center"/>
        <w:tblLayout w:type="autofit"/>
        <w:tblCellMar>
          <w:top w:w="0" w:type="dxa"/>
          <w:left w:w="108" w:type="dxa"/>
          <w:bottom w:w="0" w:type="dxa"/>
          <w:right w:w="108" w:type="dxa"/>
        </w:tblCellMar>
      </w:tblPr>
      <w:tblGrid>
        <w:gridCol w:w="600"/>
        <w:gridCol w:w="1060"/>
        <w:gridCol w:w="1480"/>
        <w:gridCol w:w="1540"/>
        <w:gridCol w:w="1600"/>
        <w:gridCol w:w="1660"/>
      </w:tblGrid>
      <w:tr>
        <w:tblPrEx>
          <w:tblCellMar>
            <w:top w:w="0" w:type="dxa"/>
            <w:left w:w="108" w:type="dxa"/>
            <w:bottom w:w="0" w:type="dxa"/>
            <w:right w:w="108" w:type="dxa"/>
          </w:tblCellMar>
        </w:tblPrEx>
        <w:trPr>
          <w:trHeight w:val="720" w:hRule="atLeast"/>
          <w:jc w:val="center"/>
        </w:trPr>
        <w:tc>
          <w:tcPr>
            <w:tcW w:w="7940" w:type="dxa"/>
            <w:gridSpan w:val="6"/>
            <w:tcBorders>
              <w:top w:val="nil"/>
              <w:left w:val="nil"/>
              <w:bottom w:val="nil"/>
              <w:right w:val="nil"/>
            </w:tcBorders>
            <w:shd w:val="clear" w:color="000000" w:fill="FFFFFF"/>
            <w:vAlign w:val="center"/>
          </w:tcPr>
          <w:p>
            <w:pPr>
              <w:widowControl/>
              <w:spacing w:line="240" w:lineRule="auto"/>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600" w:type="dxa"/>
            <w:tcBorders>
              <w:top w:val="nil"/>
              <w:left w:val="nil"/>
              <w:bottom w:val="nil"/>
              <w:right w:val="nil"/>
            </w:tcBorders>
            <w:shd w:val="clear" w:color="000000" w:fill="FFFFFF"/>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060" w:type="dxa"/>
            <w:tcBorders>
              <w:top w:val="nil"/>
              <w:left w:val="nil"/>
              <w:bottom w:val="nil"/>
              <w:right w:val="nil"/>
            </w:tcBorders>
            <w:shd w:val="clear" w:color="000000" w:fill="FFFFFF"/>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nil"/>
              <w:right w:val="nil"/>
            </w:tcBorders>
            <w:shd w:val="clear" w:color="000000" w:fill="FFFFFF"/>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nil"/>
              <w:right w:val="nil"/>
            </w:tcBorders>
            <w:shd w:val="clear" w:color="000000" w:fill="FFFFFF"/>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nil"/>
              <w:right w:val="nil"/>
            </w:tcBorders>
            <w:shd w:val="clear" w:color="000000" w:fill="FFFFFF"/>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nil"/>
              <w:right w:val="nil"/>
            </w:tcBorders>
            <w:shd w:val="clear" w:color="000000" w:fill="FFFFFF"/>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公开09表</w:t>
            </w:r>
          </w:p>
        </w:tc>
      </w:tr>
      <w:tr>
        <w:tblPrEx>
          <w:tblCellMar>
            <w:top w:w="0" w:type="dxa"/>
            <w:left w:w="108" w:type="dxa"/>
            <w:bottom w:w="0" w:type="dxa"/>
            <w:right w:w="108" w:type="dxa"/>
          </w:tblCellMar>
        </w:tblPrEx>
        <w:trPr>
          <w:trHeight w:val="285" w:hRule="atLeast"/>
          <w:jc w:val="center"/>
        </w:trPr>
        <w:tc>
          <w:tcPr>
            <w:tcW w:w="1660" w:type="dxa"/>
            <w:gridSpan w:val="2"/>
            <w:tcBorders>
              <w:top w:val="nil"/>
              <w:left w:val="nil"/>
              <w:bottom w:val="nil"/>
              <w:right w:val="nil"/>
            </w:tcBorders>
            <w:shd w:val="clear" w:color="000000" w:fill="FFFFFF"/>
            <w:noWrap/>
            <w:vAlign w:val="center"/>
          </w:tcPr>
          <w:p>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1480" w:type="dxa"/>
            <w:tcBorders>
              <w:top w:val="nil"/>
              <w:left w:val="nil"/>
              <w:bottom w:val="nil"/>
              <w:right w:val="nil"/>
            </w:tcBorders>
            <w:shd w:val="clear" w:color="000000" w:fill="FFFFFF"/>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8" w:space="0"/>
              <w:right w:val="nil"/>
            </w:tcBorders>
            <w:shd w:val="clear" w:color="000000" w:fill="FFFFFF"/>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8" w:space="0"/>
              <w:right w:val="nil"/>
            </w:tcBorders>
            <w:shd w:val="clear" w:color="000000" w:fill="FFFFFF"/>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nil"/>
              <w:right w:val="nil"/>
            </w:tcBorders>
            <w:shd w:val="clear" w:color="000000" w:fill="FFFFFF"/>
            <w:noWrap/>
            <w:vAlign w:val="center"/>
          </w:tcPr>
          <w:p>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项 </w:t>
            </w:r>
            <w:r>
              <w:rPr>
                <w:rFonts w:hint="eastAsia" w:asciiTheme="minorEastAsia" w:hAnsiTheme="minorEastAsia" w:eastAsiaTheme="minorEastAsia" w:cstheme="minorEastAsia"/>
                <w:color w:val="000000"/>
                <w:kern w:val="0"/>
                <w:sz w:val="20"/>
                <w:szCs w:val="20"/>
              </w:rPr>
              <w:t xml:space="preserve">   </w:t>
            </w:r>
            <w:r>
              <w:rPr>
                <w:rFonts w:hint="eastAsia" w:asciiTheme="minorEastAsia" w:hAnsiTheme="minorEastAsia" w:eastAsiaTheme="minorEastAsia" w:cstheme="minorEastAsia"/>
                <w:kern w:val="0"/>
                <w:sz w:val="20"/>
                <w:szCs w:val="20"/>
              </w:rPr>
              <w:t>目</w:t>
            </w:r>
          </w:p>
        </w:tc>
        <w:tc>
          <w:tcPr>
            <w:tcW w:w="4800" w:type="dxa"/>
            <w:gridSpan w:val="3"/>
            <w:tcBorders>
              <w:top w:val="single" w:color="auto" w:sz="8"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本年支出</w:t>
            </w:r>
          </w:p>
        </w:tc>
      </w:tr>
      <w:tr>
        <w:tblPrEx>
          <w:tblCellMar>
            <w:top w:w="0" w:type="dxa"/>
            <w:left w:w="108" w:type="dxa"/>
            <w:bottom w:w="0" w:type="dxa"/>
            <w:right w:w="108" w:type="dxa"/>
          </w:tblCellMar>
        </w:tblPrEx>
        <w:trPr>
          <w:trHeight w:val="402" w:hRule="atLeast"/>
          <w:jc w:val="center"/>
        </w:trPr>
        <w:tc>
          <w:tcPr>
            <w:tcW w:w="166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功能分类科目编码</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科目名称</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合计</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基本支出  </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项目支出</w:t>
            </w:r>
          </w:p>
        </w:tc>
      </w:tr>
      <w:tr>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r>
      <w:tr>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5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60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c>
          <w:tcPr>
            <w:tcW w:w="16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kern w:val="0"/>
                <w:sz w:val="20"/>
                <w:szCs w:val="20"/>
              </w:rPr>
            </w:pP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栏次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合计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8"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8"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8"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8" w:space="0"/>
              <w:right w:val="single" w:color="auto" w:sz="4" w:space="0"/>
            </w:tcBorders>
            <w:shd w:val="clear" w:color="auto" w:fill="auto"/>
            <w:vAlign w:val="center"/>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720" w:hRule="atLeast"/>
          <w:jc w:val="center"/>
        </w:trPr>
        <w:tc>
          <w:tcPr>
            <w:tcW w:w="7940" w:type="dxa"/>
            <w:gridSpan w:val="6"/>
            <w:tcBorders>
              <w:top w:val="single" w:color="auto" w:sz="8" w:space="0"/>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注：1.本表反映部门本年度国有资本经营预算财政拨款支出情况。</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Times New Roman" w:hAnsi="Times New Roman" w:cs="Times New Roman"/>
                <w:color w:val="000000"/>
                <w:kern w:val="0"/>
                <w:sz w:val="24"/>
                <w:szCs w:val="24"/>
              </w:rPr>
              <w:t>本</w:t>
            </w:r>
            <w:r>
              <w:rPr>
                <w:rFonts w:hint="eastAsia" w:ascii="Times New Roman" w:hAnsi="Times New Roman" w:cs="Times New Roman"/>
                <w:color w:val="000000"/>
                <w:kern w:val="0"/>
                <w:sz w:val="24"/>
                <w:szCs w:val="24"/>
                <w:lang w:eastAsia="zh-CN"/>
              </w:rPr>
              <w:t>单位</w:t>
            </w:r>
            <w:r>
              <w:rPr>
                <w:rFonts w:hint="eastAsia" w:ascii="Times New Roman" w:hAnsi="Times New Roman" w:cs="Times New Roman"/>
                <w:color w:val="000000"/>
                <w:kern w:val="0"/>
                <w:sz w:val="24"/>
                <w:szCs w:val="24"/>
                <w:lang w:val="en-US" w:eastAsia="zh-CN"/>
              </w:rPr>
              <w:t>2022</w:t>
            </w:r>
            <w:r>
              <w:rPr>
                <w:rFonts w:hint="eastAsia" w:ascii="Times New Roman" w:hAnsi="Times New Roman" w:cs="Times New Roman"/>
                <w:color w:val="000000"/>
                <w:kern w:val="0"/>
                <w:sz w:val="24"/>
                <w:szCs w:val="24"/>
              </w:rPr>
              <w:t>年度没有使用国有资本经营预算财政拨款安排的支出。</w:t>
            </w:r>
          </w:p>
        </w:tc>
      </w:tr>
    </w:tbl>
    <w:p>
      <w:pPr>
        <w:widowControl/>
        <w:spacing w:line="240" w:lineRule="auto"/>
        <w:jc w:val="both"/>
        <w:rPr>
          <w:rFonts w:hint="eastAsia" w:ascii="黑体" w:hAnsi="黑体" w:eastAsia="黑体"/>
          <w:sz w:val="36"/>
          <w:szCs w:val="36"/>
        </w:rPr>
      </w:pPr>
    </w:p>
    <w:p>
      <w:pPr>
        <w:widowControl/>
        <w:spacing w:line="240" w:lineRule="auto"/>
        <w:jc w:val="center"/>
        <w:rPr>
          <w:rFonts w:ascii="黑体" w:hAnsi="黑体" w:eastAsia="黑体"/>
          <w:sz w:val="36"/>
          <w:szCs w:val="36"/>
        </w:rPr>
      </w:pPr>
      <w:r>
        <w:rPr>
          <w:rFonts w:hint="eastAsia" w:ascii="黑体" w:hAnsi="黑体" w:eastAsia="黑体"/>
          <w:sz w:val="36"/>
          <w:szCs w:val="36"/>
        </w:rPr>
        <w:t xml:space="preserve">第三部分 </w:t>
      </w:r>
      <w:r>
        <w:rPr>
          <w:rFonts w:hint="eastAsia" w:ascii="黑体" w:hAnsi="黑体" w:eastAsia="黑体"/>
          <w:sz w:val="36"/>
          <w:szCs w:val="36"/>
          <w:lang w:val="en-US" w:eastAsia="zh-CN"/>
        </w:rPr>
        <w:t>2022</w:t>
      </w:r>
      <w:r>
        <w:rPr>
          <w:rFonts w:hint="eastAsia" w:ascii="黑体" w:hAnsi="黑体" w:eastAsia="黑体"/>
          <w:sz w:val="36"/>
          <w:szCs w:val="36"/>
        </w:rPr>
        <w:t>年度部门决算情况说明</w:t>
      </w:r>
    </w:p>
    <w:p>
      <w:pPr>
        <w:spacing w:line="600" w:lineRule="exact"/>
        <w:rPr>
          <w:rFonts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年本部门年初结转和结余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万元，使用非财政拨款结余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万元，本年收入</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万元，本年支出</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万元，结余分配</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年收入</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570.44</w:t>
      </w:r>
      <w:r>
        <w:rPr>
          <w:rFonts w:hint="eastAsia" w:ascii="仿宋" w:hAnsi="仿宋" w:eastAsia="仿宋" w:cs="仿宋_GB2312"/>
          <w:sz w:val="32"/>
          <w:szCs w:val="32"/>
        </w:rPr>
        <w:t>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38.54</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w:t>
      </w:r>
      <w:r>
        <w:rPr>
          <w:rFonts w:hint="eastAsia"/>
        </w:rPr>
        <w:t xml:space="preserve"> </w:t>
      </w:r>
      <w:r>
        <w:rPr>
          <w:rFonts w:hint="eastAsia" w:ascii="仿宋" w:hAnsi="仿宋" w:eastAsia="仿宋" w:cs="仿宋_GB2312"/>
          <w:sz w:val="32"/>
          <w:szCs w:val="32"/>
        </w:rPr>
        <w:t>一般公共预算财政拨款收入</w:t>
      </w:r>
      <w:r>
        <w:rPr>
          <w:rFonts w:hint="eastAsia" w:ascii="仿宋" w:hAnsi="仿宋" w:eastAsia="仿宋" w:cs="仿宋_GB2312"/>
          <w:sz w:val="32"/>
          <w:szCs w:val="32"/>
          <w:lang w:val="en-US" w:eastAsia="zh-CN"/>
        </w:rPr>
        <w:t>909.61</w:t>
      </w:r>
      <w:r>
        <w:rPr>
          <w:rFonts w:ascii="仿宋" w:hAnsi="仿宋" w:eastAsia="仿宋" w:cs="仿宋_GB2312"/>
          <w:sz w:val="32"/>
          <w:szCs w:val="32"/>
        </w:rPr>
        <w:t>万元</w:t>
      </w:r>
      <w:r>
        <w:rPr>
          <w:rFonts w:hint="eastAsia" w:ascii="仿宋" w:hAnsi="仿宋" w:eastAsia="仿宋" w:cs="仿宋_GB2312"/>
          <w:sz w:val="32"/>
          <w:szCs w:val="32"/>
        </w:rPr>
        <w:t>。</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w:t>
      </w:r>
      <w:r>
        <w:rPr>
          <w:rFonts w:hint="eastAsia"/>
        </w:rPr>
        <w:t xml:space="preserve"> </w:t>
      </w:r>
      <w:r>
        <w:rPr>
          <w:rFonts w:hint="eastAsia" w:ascii="仿宋" w:hAnsi="仿宋" w:eastAsia="仿宋" w:cs="仿宋_GB2312"/>
          <w:sz w:val="32"/>
          <w:szCs w:val="32"/>
        </w:rPr>
        <w:t>政府性基金预算财政拨款收入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w:t>
      </w:r>
      <w:r>
        <w:rPr>
          <w:rFonts w:hint="eastAsia"/>
        </w:rPr>
        <w:t xml:space="preserve"> </w:t>
      </w:r>
      <w:r>
        <w:rPr>
          <w:rFonts w:hint="eastAsia" w:ascii="仿宋" w:hAnsi="仿宋" w:eastAsia="仿宋" w:cs="仿宋_GB2312"/>
          <w:sz w:val="32"/>
          <w:szCs w:val="32"/>
        </w:rPr>
        <w:t>国有资本经营预算财政拨款收入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sz w:val="32"/>
          <w:szCs w:val="32"/>
        </w:rPr>
        <w:t xml:space="preserve"> 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ascii="仿宋" w:hAnsi="仿宋" w:eastAsia="仿宋"/>
          <w:sz w:val="32"/>
          <w:szCs w:val="32"/>
        </w:rPr>
        <w:t xml:space="preserve"> </w:t>
      </w:r>
      <w:r>
        <w:rPr>
          <w:rFonts w:ascii="仿宋" w:hAnsi="仿宋" w:eastAsia="仿宋" w:cs="仿宋_GB2312"/>
          <w:sz w:val="32"/>
          <w:szCs w:val="32"/>
        </w:rPr>
        <w:t>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ascii="仿宋" w:hAnsi="仿宋" w:eastAsia="仿宋"/>
          <w:sz w:val="32"/>
          <w:szCs w:val="32"/>
        </w:rPr>
        <w:t xml:space="preserve"> </w:t>
      </w:r>
      <w:r>
        <w:rPr>
          <w:rFonts w:ascii="仿宋" w:hAnsi="仿宋" w:eastAsia="仿宋" w:cs="仿宋_GB2312"/>
          <w:sz w:val="32"/>
          <w:szCs w:val="32"/>
        </w:rPr>
        <w:t>经营收入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.附属单位上缴收入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ascii="仿宋" w:hAnsi="仿宋" w:eastAsia="仿宋" w:cs="仿宋_GB2312"/>
          <w:sz w:val="32"/>
          <w:szCs w:val="32"/>
        </w:rPr>
        <w:t>.其他收入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年支出</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589.32</w:t>
      </w:r>
      <w:r>
        <w:rPr>
          <w:rFonts w:hint="eastAsia" w:ascii="仿宋" w:hAnsi="仿宋" w:eastAsia="仿宋" w:cs="仿宋_GB2312"/>
          <w:sz w:val="32"/>
          <w:szCs w:val="32"/>
        </w:rPr>
        <w:t>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39.32</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tabs>
          <w:tab w:val="left" w:pos="7513"/>
        </w:tabs>
        <w:adjustRightInd w:val="0"/>
        <w:snapToGrid w:val="0"/>
        <w:spacing w:line="600" w:lineRule="exact"/>
        <w:ind w:left="237" w:leftChars="113" w:firstLine="480" w:firstLineChars="150"/>
        <w:rPr>
          <w:rFonts w:ascii="仿宋" w:hAnsi="仿宋" w:eastAsia="仿宋"/>
          <w:sz w:val="32"/>
          <w:szCs w:val="32"/>
          <w:highlight w:val="none"/>
        </w:rPr>
      </w:pPr>
      <w:r>
        <w:rPr>
          <w:rFonts w:ascii="仿宋" w:hAnsi="仿宋" w:eastAsia="仿宋" w:cs="仿宋_GB2312"/>
          <w:sz w:val="32"/>
          <w:szCs w:val="32"/>
          <w:highlight w:val="none"/>
        </w:rPr>
        <w:t>1.</w:t>
      </w:r>
      <w:r>
        <w:rPr>
          <w:rFonts w:hint="eastAsia" w:ascii="仿宋" w:hAnsi="仿宋" w:eastAsia="仿宋" w:cs="仿宋_GB2312"/>
          <w:sz w:val="32"/>
          <w:szCs w:val="32"/>
          <w:highlight w:val="none"/>
        </w:rPr>
        <w:t>基本支出</w:t>
      </w:r>
      <w:r>
        <w:rPr>
          <w:rFonts w:hint="eastAsia" w:ascii="仿宋" w:hAnsi="仿宋" w:eastAsia="仿宋" w:cs="仿宋_GB2312"/>
          <w:color w:val="auto"/>
          <w:sz w:val="32"/>
          <w:szCs w:val="32"/>
          <w:highlight w:val="none"/>
          <w:lang w:val="en-US" w:eastAsia="zh-CN"/>
        </w:rPr>
        <w:t>879.61</w:t>
      </w:r>
      <w:r>
        <w:rPr>
          <w:rFonts w:hint="eastAsia" w:ascii="仿宋" w:hAnsi="仿宋" w:eastAsia="仿宋" w:cs="仿宋_GB2312"/>
          <w:sz w:val="32"/>
          <w:szCs w:val="32"/>
          <w:highlight w:val="none"/>
        </w:rPr>
        <w:t>万元。其中，人员支出</w:t>
      </w:r>
      <w:r>
        <w:rPr>
          <w:rFonts w:hint="eastAsia" w:ascii="仿宋" w:hAnsi="仿宋" w:eastAsia="仿宋" w:cs="仿宋_GB2312"/>
          <w:sz w:val="32"/>
          <w:szCs w:val="32"/>
          <w:highlight w:val="none"/>
          <w:lang w:val="en-US" w:eastAsia="zh-CN"/>
        </w:rPr>
        <w:t>556.29</w:t>
      </w:r>
      <w:r>
        <w:rPr>
          <w:rFonts w:hint="eastAsia" w:ascii="仿宋" w:hAnsi="仿宋" w:eastAsia="仿宋" w:cs="仿宋_GB2312"/>
          <w:sz w:val="32"/>
          <w:szCs w:val="32"/>
          <w:highlight w:val="none"/>
        </w:rPr>
        <w:t>万元，公用支出</w:t>
      </w:r>
      <w:r>
        <w:rPr>
          <w:rFonts w:hint="eastAsia" w:ascii="仿宋" w:hAnsi="仿宋" w:eastAsia="仿宋" w:cs="仿宋_GB2312"/>
          <w:sz w:val="32"/>
          <w:szCs w:val="32"/>
          <w:highlight w:val="none"/>
          <w:lang w:val="en-US" w:eastAsia="zh-CN"/>
        </w:rPr>
        <w:t>323.32</w:t>
      </w:r>
      <w:r>
        <w:rPr>
          <w:rFonts w:hint="eastAsia" w:ascii="仿宋" w:hAnsi="仿宋" w:eastAsia="仿宋" w:cs="仿宋_GB2312"/>
          <w:sz w:val="32"/>
          <w:szCs w:val="32"/>
          <w:highlight w:val="none"/>
        </w:rPr>
        <w:t>万元。</w:t>
      </w:r>
    </w:p>
    <w:p>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万元。</w:t>
      </w:r>
    </w:p>
    <w:p>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上缴上级支出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经营支出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600" w:lineRule="exact"/>
        <w:ind w:firstLine="640" w:firstLineChars="200"/>
        <w:rPr>
          <w:rFonts w:ascii="仿宋" w:hAnsi="仿宋" w:eastAsia="仿宋"/>
          <w:sz w:val="32"/>
          <w:szCs w:val="32"/>
        </w:rPr>
      </w:pPr>
      <w:r>
        <w:rPr>
          <w:rFonts w:ascii="仿宋" w:hAnsi="仿宋" w:eastAsia="仿宋" w:cs="仿宋_GB2312"/>
          <w:sz w:val="32"/>
          <w:szCs w:val="32"/>
        </w:rPr>
        <w:t>5.</w:t>
      </w:r>
      <w:r>
        <w:rPr>
          <w:rFonts w:hint="eastAsia" w:ascii="仿宋" w:hAnsi="仿宋" w:eastAsia="仿宋" w:cs="仿宋_GB2312"/>
          <w:sz w:val="32"/>
          <w:szCs w:val="32"/>
        </w:rPr>
        <w:t>对附属单位补助支出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2022</w:t>
      </w:r>
      <w:r>
        <w:rPr>
          <w:rFonts w:hint="eastAsia" w:ascii="仿宋" w:hAnsi="仿宋" w:eastAsia="仿宋"/>
          <w:color w:val="000000" w:themeColor="text1"/>
          <w:sz w:val="32"/>
          <w:szCs w:val="32"/>
          <w14:textFill>
            <w14:solidFill>
              <w14:schemeClr w14:val="tx1"/>
            </w14:solidFill>
          </w14:textFill>
        </w:rPr>
        <w:t>年一般公共预算拨款支出</w:t>
      </w:r>
      <w:r>
        <w:rPr>
          <w:rFonts w:hint="eastAsia" w:ascii="仿宋" w:hAnsi="仿宋" w:eastAsia="仿宋"/>
          <w:color w:val="000000" w:themeColor="text1"/>
          <w:sz w:val="32"/>
          <w:szCs w:val="32"/>
          <w:lang w:val="en-US" w:eastAsia="zh-CN"/>
          <w14:textFill>
            <w14:solidFill>
              <w14:schemeClr w14:val="tx1"/>
            </w14:solidFill>
          </w14:textFill>
        </w:rPr>
        <w:t>909.61</w:t>
      </w:r>
      <w:r>
        <w:rPr>
          <w:rFonts w:hint="eastAsia" w:ascii="仿宋" w:hAnsi="仿宋" w:eastAsia="仿宋"/>
          <w:color w:val="000000" w:themeColor="text1"/>
          <w:sz w:val="32"/>
          <w:szCs w:val="32"/>
          <w14:textFill>
            <w14:solidFill>
              <w14:schemeClr w14:val="tx1"/>
            </w14:solidFill>
          </w14:textFill>
        </w:rPr>
        <w:t>万元，比上年决算数减少</w:t>
      </w:r>
      <w:r>
        <w:rPr>
          <w:rFonts w:hint="eastAsia" w:ascii="仿宋" w:hAnsi="仿宋" w:eastAsia="仿宋"/>
          <w:color w:val="000000" w:themeColor="text1"/>
          <w:sz w:val="32"/>
          <w:szCs w:val="32"/>
          <w:lang w:val="en-US" w:eastAsia="zh-CN"/>
          <w14:textFill>
            <w14:solidFill>
              <w14:schemeClr w14:val="tx1"/>
            </w14:solidFill>
          </w14:textFill>
        </w:rPr>
        <w:t>589.32</w:t>
      </w:r>
      <w:r>
        <w:rPr>
          <w:rFonts w:hint="eastAsia" w:ascii="仿宋" w:hAnsi="仿宋" w:eastAsia="仿宋"/>
          <w:color w:val="000000" w:themeColor="text1"/>
          <w:sz w:val="32"/>
          <w:szCs w:val="32"/>
          <w14:textFill>
            <w14:solidFill>
              <w14:schemeClr w14:val="tx1"/>
            </w14:solidFill>
          </w14:textFill>
        </w:rPr>
        <w:t>万元，下降</w:t>
      </w:r>
      <w:r>
        <w:rPr>
          <w:rFonts w:hint="eastAsia" w:ascii="仿宋" w:hAnsi="仿宋" w:eastAsia="仿宋"/>
          <w:color w:val="000000" w:themeColor="text1"/>
          <w:sz w:val="32"/>
          <w:szCs w:val="32"/>
          <w:lang w:val="en-US" w:eastAsia="zh-CN"/>
          <w14:textFill>
            <w14:solidFill>
              <w14:schemeClr w14:val="tx1"/>
            </w14:solidFill>
          </w14:textFill>
        </w:rPr>
        <w:t>39.32</w:t>
      </w:r>
      <w:r>
        <w:rPr>
          <w:rFonts w:ascii="仿宋" w:hAnsi="仿宋" w:eastAsia="仿宋"/>
          <w:color w:val="000000" w:themeColor="text1"/>
          <w:sz w:val="32"/>
          <w:szCs w:val="32"/>
          <w14:textFill>
            <w14:solidFill>
              <w14:schemeClr w14:val="tx1"/>
            </w14:solidFill>
          </w14:textFill>
        </w:rPr>
        <w:t>%，具体情况如下</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按</w:t>
      </w:r>
      <w:r>
        <w:rPr>
          <w:rFonts w:ascii="仿宋" w:hAnsi="仿宋" w:eastAsia="仿宋"/>
          <w:b/>
          <w:color w:val="000000" w:themeColor="text1"/>
          <w:sz w:val="32"/>
          <w:szCs w:val="32"/>
          <w14:textFill>
            <w14:solidFill>
              <w14:schemeClr w14:val="tx1"/>
            </w14:solidFill>
          </w14:textFill>
        </w:rPr>
        <w:t>项级科目</w:t>
      </w:r>
      <w:r>
        <w:rPr>
          <w:rFonts w:ascii="仿宋" w:hAnsi="仿宋" w:eastAsia="仿宋"/>
          <w:color w:val="000000" w:themeColor="text1"/>
          <w:sz w:val="32"/>
          <w:szCs w:val="32"/>
          <w14:textFill>
            <w14:solidFill>
              <w14:schemeClr w14:val="tx1"/>
            </w14:solidFill>
          </w14:textFill>
        </w:rPr>
        <w:t>分类统计</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w:t>
      </w:r>
      <w:r>
        <w:rPr>
          <w:rFonts w:hint="eastAsia" w:ascii="仿宋" w:hAnsi="仿宋" w:eastAsia="仿宋"/>
          <w:color w:val="000000" w:themeColor="text1"/>
          <w:sz w:val="32"/>
          <w:szCs w:val="32"/>
          <w:highlight w:val="none"/>
          <w:lang w:val="en-US" w:eastAsia="zh-CN"/>
          <w14:textFill>
            <w14:solidFill>
              <w14:schemeClr w14:val="tx1"/>
            </w14:solidFill>
          </w14:textFill>
        </w:rPr>
        <w:t>2010101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10.86</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3.47</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46.96</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w:t>
      </w:r>
      <w:r>
        <w:rPr>
          <w:rFonts w:hint="eastAsia" w:ascii="仿宋" w:hAnsi="仿宋" w:eastAsia="仿宋"/>
          <w:color w:val="000000" w:themeColor="text1"/>
          <w:sz w:val="32"/>
          <w:szCs w:val="32"/>
          <w:highlight w:val="none"/>
          <w:lang w:val="en-US" w:eastAsia="zh-CN"/>
          <w14:textFill>
            <w14:solidFill>
              <w14:schemeClr w14:val="tx1"/>
            </w14:solidFill>
          </w14:textFill>
        </w:rPr>
        <w:t>2010301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82.4</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13.94</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20.36</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w:t>
      </w:r>
      <w:r>
        <w:rPr>
          <w:rFonts w:hint="eastAsia" w:ascii="仿宋" w:hAnsi="仿宋" w:eastAsia="仿宋"/>
          <w:color w:val="000000" w:themeColor="text1"/>
          <w:sz w:val="32"/>
          <w:szCs w:val="32"/>
          <w:highlight w:val="none"/>
          <w:lang w:val="en-US" w:eastAsia="zh-CN"/>
          <w14:textFill>
            <w14:solidFill>
              <w14:schemeClr w14:val="tx1"/>
            </w14:solidFill>
          </w14:textFill>
        </w:rPr>
        <w:t>2010399</w:t>
      </w:r>
      <w:r>
        <w:rPr>
          <w:rFonts w:hint="eastAsia" w:ascii="仿宋" w:hAnsi="仿宋" w:eastAsia="仿宋"/>
          <w:color w:val="000000" w:themeColor="text1"/>
          <w:sz w:val="32"/>
          <w:szCs w:val="32"/>
          <w:highlight w:val="none"/>
          <w:lang w:eastAsia="zh-CN"/>
          <w14:textFill>
            <w14:solidFill>
              <w14:schemeClr w14:val="tx1"/>
            </w14:solidFill>
          </w14:textFill>
        </w:rPr>
        <w:t>－其他政府办公厅（室）及相关机构事务支出</w:t>
      </w:r>
      <w:r>
        <w:rPr>
          <w:rFonts w:hint="eastAsia" w:ascii="仿宋" w:hAnsi="仿宋" w:eastAsia="仿宋"/>
          <w:color w:val="000000" w:themeColor="text1"/>
          <w:sz w:val="32"/>
          <w:szCs w:val="32"/>
          <w:highlight w:val="none"/>
          <w:lang w:val="en-US" w:eastAsia="zh-CN"/>
          <w14:textFill>
            <w14:solidFill>
              <w14:schemeClr w14:val="tx1"/>
            </w14:solidFill>
          </w14:textFill>
        </w:rPr>
        <w:t>208.97</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2.96</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下降</w:t>
      </w:r>
      <w:r>
        <w:rPr>
          <w:rFonts w:hint="eastAsia" w:ascii="仿宋" w:hAnsi="仿宋" w:eastAsia="仿宋"/>
          <w:color w:val="000000" w:themeColor="text1"/>
          <w:sz w:val="32"/>
          <w:szCs w:val="32"/>
          <w:highlight w:val="none"/>
          <w:lang w:val="en-US" w:eastAsia="zh-CN"/>
          <w14:textFill>
            <w14:solidFill>
              <w14:schemeClr w14:val="tx1"/>
            </w14:solidFill>
          </w14:textFill>
        </w:rPr>
        <w:t>1.40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（四）</w:t>
      </w:r>
      <w:r>
        <w:rPr>
          <w:rFonts w:hint="eastAsia" w:ascii="仿宋" w:hAnsi="仿宋" w:eastAsia="仿宋"/>
          <w:color w:val="000000" w:themeColor="text1"/>
          <w:sz w:val="32"/>
          <w:szCs w:val="32"/>
          <w:highlight w:val="none"/>
          <w:lang w:val="en-US" w:eastAsia="zh-CN"/>
          <w14:textFill>
            <w14:solidFill>
              <w14:schemeClr w14:val="tx1"/>
            </w14:solidFill>
          </w14:textFill>
        </w:rPr>
        <w:t>2010501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10.31</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0.49</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4.99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主要原因是人员调整导致经费变动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（五）</w:t>
      </w:r>
      <w:r>
        <w:rPr>
          <w:rFonts w:hint="eastAsia" w:ascii="仿宋" w:hAnsi="仿宋" w:eastAsia="仿宋"/>
          <w:color w:val="000000" w:themeColor="text1"/>
          <w:sz w:val="32"/>
          <w:szCs w:val="32"/>
          <w:highlight w:val="none"/>
          <w:lang w:val="en-US" w:eastAsia="zh-CN"/>
          <w14:textFill>
            <w14:solidFill>
              <w14:schemeClr w14:val="tx1"/>
            </w14:solidFill>
          </w14:textFill>
        </w:rPr>
        <w:t>2010601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19.85</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0.13</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0.65</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（六）</w:t>
      </w:r>
      <w:r>
        <w:rPr>
          <w:rFonts w:hint="eastAsia" w:ascii="仿宋" w:hAnsi="仿宋" w:eastAsia="仿宋"/>
          <w:color w:val="000000" w:themeColor="text1"/>
          <w:sz w:val="32"/>
          <w:szCs w:val="32"/>
          <w:highlight w:val="none"/>
          <w:lang w:val="en-US" w:eastAsia="zh-CN"/>
          <w14:textFill>
            <w14:solidFill>
              <w14:schemeClr w14:val="tx1"/>
            </w14:solidFill>
          </w14:textFill>
        </w:rPr>
        <w:t>2011101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13.74</w:t>
      </w:r>
      <w:r>
        <w:rPr>
          <w:rFonts w:hint="eastAsia" w:ascii="仿宋" w:hAnsi="仿宋" w:eastAsia="仿宋"/>
          <w:color w:val="000000" w:themeColor="text1"/>
          <w:sz w:val="32"/>
          <w:szCs w:val="32"/>
          <w:highlight w:val="none"/>
          <w14:textFill>
            <w14:solidFill>
              <w14:schemeClr w14:val="tx1"/>
            </w14:solidFill>
          </w14:textFill>
        </w:rPr>
        <w:t>万元，较上年决算数增</w:t>
      </w:r>
    </w:p>
    <w:p>
      <w:pPr>
        <w:bidi w:val="0"/>
        <w:jc w:val="left"/>
        <w:rPr>
          <w:rFonts w:hint="eastAsia"/>
          <w:lang w:eastAsia="zh-CN"/>
        </w:rPr>
      </w:pPr>
      <w:r>
        <w:rPr>
          <w:rFonts w:hint="eastAsia"/>
        </w:rPr>
        <w:t>加</w:t>
      </w:r>
      <w:r>
        <w:rPr>
          <w:rFonts w:hint="eastAsia"/>
          <w:lang w:val="en-US" w:eastAsia="zh-CN"/>
        </w:rPr>
        <w:t>1.17</w:t>
      </w:r>
      <w:r>
        <w:rPr>
          <w:rFonts w:hint="eastAsia"/>
        </w:rPr>
        <w:t>万元，增长</w:t>
      </w:r>
      <w:r>
        <w:rPr>
          <w:rFonts w:hint="eastAsia"/>
          <w:lang w:val="en-US" w:eastAsia="zh-CN"/>
        </w:rPr>
        <w:t>9.31</w:t>
      </w:r>
      <w:r>
        <w:t>%。主要原因是</w:t>
      </w:r>
      <w:r>
        <w:rPr>
          <w:rFonts w:hint="eastAsia"/>
          <w:lang w:eastAsia="zh-CN"/>
        </w:rPr>
        <w:t>人员调整导致经费变动</w:t>
      </w:r>
      <w: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（七）</w:t>
      </w:r>
      <w:r>
        <w:rPr>
          <w:rFonts w:hint="eastAsia" w:ascii="仿宋" w:hAnsi="仿宋" w:eastAsia="仿宋"/>
          <w:color w:val="000000" w:themeColor="text1"/>
          <w:sz w:val="32"/>
          <w:szCs w:val="32"/>
          <w:highlight w:val="none"/>
          <w:lang w:val="en-US" w:eastAsia="zh-CN"/>
          <w14:textFill>
            <w14:solidFill>
              <w14:schemeClr w14:val="tx1"/>
            </w14:solidFill>
          </w14:textFill>
        </w:rPr>
        <w:t>2013101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80.38</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23.27</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40.75</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（八）</w:t>
      </w:r>
      <w:r>
        <w:rPr>
          <w:rFonts w:hint="eastAsia" w:ascii="仿宋" w:hAnsi="仿宋" w:eastAsia="仿宋"/>
          <w:color w:val="000000" w:themeColor="text1"/>
          <w:sz w:val="32"/>
          <w:szCs w:val="32"/>
          <w:highlight w:val="none"/>
          <w:lang w:val="en-US" w:eastAsia="zh-CN"/>
          <w14:textFill>
            <w14:solidFill>
              <w14:schemeClr w14:val="tx1"/>
            </w14:solidFill>
          </w14:textFill>
        </w:rPr>
        <w:t>2070101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6.73</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6.21</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下降</w:t>
      </w:r>
      <w:r>
        <w:rPr>
          <w:rFonts w:hint="eastAsia" w:ascii="仿宋" w:hAnsi="仿宋" w:eastAsia="仿宋"/>
          <w:color w:val="000000" w:themeColor="text1"/>
          <w:sz w:val="32"/>
          <w:szCs w:val="32"/>
          <w:highlight w:val="none"/>
          <w:lang w:val="en-US" w:eastAsia="zh-CN"/>
          <w14:textFill>
            <w14:solidFill>
              <w14:schemeClr w14:val="tx1"/>
            </w14:solidFill>
          </w14:textFill>
        </w:rPr>
        <w:t>47.99</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（九）</w:t>
      </w:r>
      <w:r>
        <w:rPr>
          <w:rFonts w:hint="eastAsia" w:ascii="仿宋" w:hAnsi="仿宋" w:eastAsia="仿宋"/>
          <w:color w:val="000000" w:themeColor="text1"/>
          <w:sz w:val="32"/>
          <w:szCs w:val="32"/>
          <w:highlight w:val="none"/>
          <w:lang w:val="en-US" w:eastAsia="zh-CN"/>
          <w14:textFill>
            <w14:solidFill>
              <w14:schemeClr w14:val="tx1"/>
            </w14:solidFill>
          </w14:textFill>
        </w:rPr>
        <w:t>2080506</w:t>
      </w:r>
      <w:r>
        <w:rPr>
          <w:rFonts w:hint="eastAsia" w:ascii="仿宋" w:hAnsi="仿宋" w:eastAsia="仿宋"/>
          <w:color w:val="000000" w:themeColor="text1"/>
          <w:sz w:val="32"/>
          <w:szCs w:val="32"/>
          <w:highlight w:val="none"/>
          <w:lang w:eastAsia="zh-CN"/>
          <w14:textFill>
            <w14:solidFill>
              <w14:schemeClr w14:val="tx1"/>
            </w14:solidFill>
          </w14:textFill>
        </w:rPr>
        <w:t>－机关事业单位职业年金缴费支出</w:t>
      </w:r>
      <w:r>
        <w:rPr>
          <w:rFonts w:hint="eastAsia" w:ascii="仿宋" w:hAnsi="仿宋" w:eastAsia="仿宋"/>
          <w:color w:val="000000" w:themeColor="text1"/>
          <w:sz w:val="32"/>
          <w:szCs w:val="32"/>
          <w:highlight w:val="none"/>
          <w:lang w:val="en-US" w:eastAsia="zh-CN"/>
          <w14:textFill>
            <w14:solidFill>
              <w14:schemeClr w14:val="tx1"/>
            </w14:solidFill>
          </w14:textFill>
        </w:rPr>
        <w:t>7.85</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3.45</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78.41</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w:t>
      </w:r>
      <w:r>
        <w:rPr>
          <w:rFonts w:hint="eastAsia" w:ascii="仿宋" w:hAnsi="仿宋" w:eastAsia="仿宋"/>
          <w:color w:val="000000" w:themeColor="text1"/>
          <w:sz w:val="32"/>
          <w:szCs w:val="32"/>
          <w:highlight w:val="none"/>
          <w:lang w:val="en-US" w:eastAsia="zh-CN"/>
          <w14:textFill>
            <w14:solidFill>
              <w14:schemeClr w14:val="tx1"/>
            </w14:solidFill>
          </w14:textFill>
        </w:rPr>
        <w:t>2100101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22.62</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0.71</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3.04</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（十一）</w:t>
      </w:r>
      <w:r>
        <w:rPr>
          <w:rFonts w:hint="eastAsia" w:ascii="仿宋" w:hAnsi="仿宋" w:eastAsia="仿宋"/>
          <w:color w:val="000000" w:themeColor="text1"/>
          <w:sz w:val="32"/>
          <w:szCs w:val="32"/>
          <w:highlight w:val="none"/>
          <w:lang w:val="en-US" w:eastAsia="zh-CN"/>
          <w14:textFill>
            <w14:solidFill>
              <w14:schemeClr w14:val="tx1"/>
            </w14:solidFill>
          </w14:textFill>
        </w:rPr>
        <w:t>2110101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5.78</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0.09</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下降</w:t>
      </w:r>
      <w:r>
        <w:rPr>
          <w:rFonts w:hint="eastAsia" w:ascii="仿宋" w:hAnsi="仿宋" w:eastAsia="仿宋"/>
          <w:color w:val="000000" w:themeColor="text1"/>
          <w:sz w:val="32"/>
          <w:szCs w:val="32"/>
          <w:highlight w:val="none"/>
          <w:lang w:val="en-US" w:eastAsia="zh-CN"/>
          <w14:textFill>
            <w14:solidFill>
              <w14:schemeClr w14:val="tx1"/>
            </w14:solidFill>
          </w14:textFill>
        </w:rPr>
        <w:t>1.53</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（十二）</w:t>
      </w:r>
      <w:r>
        <w:rPr>
          <w:rFonts w:hint="eastAsia" w:ascii="仿宋" w:hAnsi="仿宋" w:eastAsia="仿宋"/>
          <w:color w:val="000000" w:themeColor="text1"/>
          <w:sz w:val="32"/>
          <w:szCs w:val="32"/>
          <w:highlight w:val="none"/>
          <w:lang w:val="en-US" w:eastAsia="zh-CN"/>
          <w14:textFill>
            <w14:solidFill>
              <w14:schemeClr w14:val="tx1"/>
            </w14:solidFill>
          </w14:textFill>
        </w:rPr>
        <w:t>2130101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105.3</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21.29</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25.34</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（十三）2130119－防灾救灾7万元，</w:t>
      </w:r>
      <w:r>
        <w:rPr>
          <w:rFonts w:hint="eastAsia" w:ascii="仿宋" w:hAnsi="仿宋" w:eastAsia="仿宋"/>
          <w:color w:val="000000" w:themeColor="text1"/>
          <w:sz w:val="32"/>
          <w:szCs w:val="32"/>
          <w:highlight w:val="none"/>
          <w14:textFill>
            <w14:solidFill>
              <w14:schemeClr w14:val="tx1"/>
            </w14:solidFill>
          </w14:textFill>
        </w:rPr>
        <w:t>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防灾救灾经费增加。</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（十四）</w:t>
      </w:r>
      <w:r>
        <w:rPr>
          <w:rFonts w:hint="eastAsia" w:ascii="仿宋" w:hAnsi="仿宋" w:eastAsia="仿宋"/>
          <w:color w:val="000000" w:themeColor="text1"/>
          <w:sz w:val="32"/>
          <w:szCs w:val="32"/>
          <w:highlight w:val="none"/>
          <w:lang w:val="en-US" w:eastAsia="zh-CN"/>
          <w14:textFill>
            <w14:solidFill>
              <w14:schemeClr w14:val="tx1"/>
            </w14:solidFill>
          </w14:textFill>
        </w:rPr>
        <w:t>2130301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4.7</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3.45</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42.33</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（十五）</w:t>
      </w:r>
      <w:r>
        <w:rPr>
          <w:rFonts w:hint="eastAsia" w:ascii="仿宋" w:hAnsi="仿宋" w:eastAsia="仿宋"/>
          <w:color w:val="000000" w:themeColor="text1"/>
          <w:sz w:val="32"/>
          <w:szCs w:val="32"/>
          <w:highlight w:val="none"/>
          <w:lang w:val="en-US" w:eastAsia="zh-CN"/>
          <w14:textFill>
            <w14:solidFill>
              <w14:schemeClr w14:val="tx1"/>
            </w14:solidFill>
          </w14:textFill>
        </w:rPr>
        <w:t>2130399</w:t>
      </w:r>
      <w:r>
        <w:rPr>
          <w:rFonts w:hint="eastAsia" w:ascii="仿宋" w:hAnsi="仿宋" w:eastAsia="仿宋"/>
          <w:color w:val="000000" w:themeColor="text1"/>
          <w:sz w:val="32"/>
          <w:szCs w:val="32"/>
          <w:highlight w:val="none"/>
          <w:lang w:eastAsia="zh-CN"/>
          <w14:textFill>
            <w14:solidFill>
              <w14:schemeClr w14:val="tx1"/>
            </w14:solidFill>
          </w14:textFill>
        </w:rPr>
        <w:t>－其他水体支出</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污染治理经费增加</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（十六）</w:t>
      </w:r>
      <w:r>
        <w:rPr>
          <w:rFonts w:hint="eastAsia" w:ascii="仿宋" w:hAnsi="仿宋" w:eastAsia="仿宋"/>
          <w:color w:val="000000" w:themeColor="text1"/>
          <w:sz w:val="32"/>
          <w:szCs w:val="32"/>
          <w:highlight w:val="none"/>
          <w:lang w:val="en-US" w:eastAsia="zh-CN"/>
          <w14:textFill>
            <w14:solidFill>
              <w14:schemeClr w14:val="tx1"/>
            </w14:solidFill>
          </w14:textFill>
        </w:rPr>
        <w:t>2130701</w:t>
      </w:r>
      <w:r>
        <w:rPr>
          <w:rFonts w:hint="eastAsia" w:ascii="仿宋" w:hAnsi="仿宋" w:eastAsia="仿宋"/>
          <w:color w:val="000000" w:themeColor="text1"/>
          <w:sz w:val="32"/>
          <w:szCs w:val="32"/>
          <w:highlight w:val="none"/>
          <w:lang w:eastAsia="zh-CN"/>
          <w14:textFill>
            <w14:solidFill>
              <w14:schemeClr w14:val="tx1"/>
            </w14:solidFill>
          </w14:textFill>
        </w:rPr>
        <w:t>－对村级公益事业建设的补助</w:t>
      </w:r>
      <w:r>
        <w:rPr>
          <w:rFonts w:hint="eastAsia" w:ascii="仿宋" w:hAnsi="仿宋" w:eastAsia="仿宋"/>
          <w:color w:val="000000" w:themeColor="text1"/>
          <w:sz w:val="32"/>
          <w:szCs w:val="32"/>
          <w:highlight w:val="none"/>
          <w:lang w:val="en-US" w:eastAsia="zh-CN"/>
          <w14:textFill>
            <w14:solidFill>
              <w14:schemeClr w14:val="tx1"/>
            </w14:solidFill>
          </w14:textFill>
        </w:rPr>
        <w:t>43</w:t>
      </w:r>
      <w:r>
        <w:rPr>
          <w:rFonts w:hint="eastAsia" w:ascii="仿宋" w:hAnsi="仿宋" w:eastAsia="仿宋"/>
          <w:color w:val="000000" w:themeColor="text1"/>
          <w:sz w:val="32"/>
          <w:szCs w:val="32"/>
          <w:highlight w:val="none"/>
          <w14:textFill>
            <w14:solidFill>
              <w14:schemeClr w14:val="tx1"/>
            </w14:solidFill>
          </w14:textFill>
        </w:rPr>
        <w:t>万元，较上年决算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79.17</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一事一议项目费用增加。</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（十七）</w:t>
      </w:r>
      <w:r>
        <w:rPr>
          <w:rFonts w:hint="eastAsia" w:ascii="仿宋" w:hAnsi="仿宋" w:eastAsia="仿宋"/>
          <w:color w:val="000000" w:themeColor="text1"/>
          <w:sz w:val="32"/>
          <w:szCs w:val="32"/>
          <w:highlight w:val="none"/>
          <w:lang w:val="en-US" w:eastAsia="zh-CN"/>
          <w14:textFill>
            <w14:solidFill>
              <w14:schemeClr w14:val="tx1"/>
            </w14:solidFill>
          </w14:textFill>
        </w:rPr>
        <w:t>2130705</w:t>
      </w:r>
      <w:r>
        <w:rPr>
          <w:rFonts w:hint="eastAsia" w:ascii="仿宋" w:hAnsi="仿宋" w:eastAsia="仿宋"/>
          <w:color w:val="000000" w:themeColor="text1"/>
          <w:sz w:val="32"/>
          <w:szCs w:val="32"/>
          <w:highlight w:val="none"/>
          <w:lang w:eastAsia="zh-CN"/>
          <w14:textFill>
            <w14:solidFill>
              <w14:schemeClr w14:val="tx1"/>
            </w14:solidFill>
          </w14:textFill>
        </w:rPr>
        <w:t>－对村民委员会和村党支部的补助</w:t>
      </w:r>
      <w:r>
        <w:rPr>
          <w:rFonts w:hint="eastAsia" w:ascii="仿宋" w:hAnsi="仿宋" w:eastAsia="仿宋"/>
          <w:color w:val="000000" w:themeColor="text1"/>
          <w:sz w:val="32"/>
          <w:szCs w:val="32"/>
          <w:highlight w:val="none"/>
          <w:lang w:val="en-US" w:eastAsia="zh-CN"/>
          <w14:textFill>
            <w14:solidFill>
              <w14:schemeClr w14:val="tx1"/>
            </w14:solidFill>
          </w14:textFill>
        </w:rPr>
        <w:t>104.16</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17.5</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14.38</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对村民委员会和村党支部的补助减少</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（十八）</w:t>
      </w:r>
      <w:r>
        <w:rPr>
          <w:rFonts w:hint="eastAsia" w:ascii="仿宋" w:hAnsi="仿宋" w:eastAsia="仿宋"/>
          <w:color w:val="000000" w:themeColor="text1"/>
          <w:sz w:val="32"/>
          <w:szCs w:val="32"/>
          <w:highlight w:val="none"/>
          <w:lang w:val="en-US" w:eastAsia="zh-CN"/>
          <w14:textFill>
            <w14:solidFill>
              <w14:schemeClr w14:val="tx1"/>
            </w14:solidFill>
          </w14:textFill>
        </w:rPr>
        <w:t>2130799－其他农村综合改革支出42.69万元，</w:t>
      </w:r>
      <w:r>
        <w:rPr>
          <w:rFonts w:hint="eastAsia" w:ascii="仿宋" w:hAnsi="仿宋" w:eastAsia="仿宋"/>
          <w:color w:val="000000" w:themeColor="text1"/>
          <w:sz w:val="32"/>
          <w:szCs w:val="32"/>
          <w:highlight w:val="none"/>
          <w14:textFill>
            <w14:solidFill>
              <w14:schemeClr w14:val="tx1"/>
            </w14:solidFill>
          </w14:textFill>
        </w:rPr>
        <w:t>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42.69</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农村综合改革各项费用支出增加。</w:t>
      </w:r>
    </w:p>
    <w:p>
      <w:pPr>
        <w:spacing w:line="6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（十九）</w:t>
      </w:r>
      <w:r>
        <w:rPr>
          <w:rFonts w:hint="eastAsia" w:ascii="仿宋" w:hAnsi="仿宋" w:eastAsia="仿宋"/>
          <w:color w:val="000000" w:themeColor="text1"/>
          <w:sz w:val="32"/>
          <w:szCs w:val="32"/>
          <w:highlight w:val="none"/>
          <w:lang w:val="en-US" w:eastAsia="zh-CN"/>
          <w14:textFill>
            <w14:solidFill>
              <w14:schemeClr w14:val="tx1"/>
            </w14:solidFill>
          </w14:textFill>
        </w:rPr>
        <w:t>2140106－公路养护15万元，</w:t>
      </w:r>
      <w:r>
        <w:rPr>
          <w:rFonts w:hint="eastAsia" w:ascii="仿宋" w:hAnsi="仿宋" w:eastAsia="仿宋"/>
          <w:color w:val="000000" w:themeColor="text1"/>
          <w:sz w:val="32"/>
          <w:szCs w:val="32"/>
          <w:highlight w:val="none"/>
          <w14:textFill>
            <w14:solidFill>
              <w14:schemeClr w14:val="tx1"/>
            </w14:solidFill>
          </w14:textFill>
        </w:rPr>
        <w:t>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15</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乡镇公路养护费用增加。</w:t>
      </w:r>
    </w:p>
    <w:p>
      <w:pPr>
        <w:spacing w:line="600" w:lineRule="exact"/>
        <w:ind w:firstLine="640" w:firstLineChars="200"/>
        <w:rPr>
          <w:rFonts w:hint="default" w:ascii="仿宋" w:hAnsi="仿宋" w:eastAsia="仿宋"/>
          <w:color w:val="FF0000"/>
          <w:sz w:val="32"/>
          <w:szCs w:val="32"/>
          <w:highlight w:val="none"/>
          <w:lang w:val="en-US" w:eastAsia="zh-CN"/>
        </w:rPr>
      </w:pPr>
      <w:r>
        <w:rPr>
          <w:rFonts w:hint="eastAsia" w:ascii="仿宋" w:hAnsi="仿宋" w:eastAsia="仿宋"/>
          <w:color w:val="000000" w:themeColor="text1"/>
          <w:sz w:val="32"/>
          <w:szCs w:val="32"/>
          <w:highlight w:val="none"/>
          <w:lang w:eastAsia="zh-CN"/>
          <w14:textFill>
            <w14:solidFill>
              <w14:schemeClr w14:val="tx1"/>
            </w14:solidFill>
          </w14:textFill>
        </w:rPr>
        <w:t>（二十）</w:t>
      </w:r>
      <w:r>
        <w:rPr>
          <w:rFonts w:hint="eastAsia" w:ascii="仿宋" w:hAnsi="仿宋" w:eastAsia="仿宋"/>
          <w:color w:val="000000" w:themeColor="text1"/>
          <w:sz w:val="32"/>
          <w:szCs w:val="32"/>
          <w:highlight w:val="none"/>
          <w:lang w:val="en-US" w:eastAsia="zh-CN"/>
          <w14:textFill>
            <w14:solidFill>
              <w14:schemeClr w14:val="tx1"/>
            </w14:solidFill>
          </w14:textFill>
        </w:rPr>
        <w:t>2169901－服务业基础设施建设30万元，</w:t>
      </w:r>
      <w:r>
        <w:rPr>
          <w:rFonts w:hint="eastAsia" w:ascii="仿宋" w:hAnsi="仿宋" w:eastAsia="仿宋"/>
          <w:color w:val="000000" w:themeColor="text1"/>
          <w:sz w:val="32"/>
          <w:szCs w:val="32"/>
          <w:highlight w:val="none"/>
          <w14:textFill>
            <w14:solidFill>
              <w14:schemeClr w14:val="tx1"/>
            </w14:solidFill>
          </w14:textFill>
        </w:rPr>
        <w:t>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30</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w:t>
      </w:r>
      <w:r>
        <w:rPr>
          <w:rFonts w:hint="eastAsia" w:ascii="仿宋" w:hAnsi="仿宋" w:eastAsia="仿宋"/>
          <w:color w:val="000000" w:themeColor="text1"/>
          <w:sz w:val="32"/>
          <w:szCs w:val="32"/>
          <w:highlight w:val="none"/>
          <w:lang w:eastAsia="zh-CN"/>
          <w14:textFill>
            <w14:solidFill>
              <w14:schemeClr w14:val="tx1"/>
            </w14:solidFill>
          </w14:textFill>
        </w:rPr>
        <w:t>服务业基础设施建设投入增加。</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（二十一）</w:t>
      </w:r>
      <w:r>
        <w:rPr>
          <w:rFonts w:hint="eastAsia" w:ascii="仿宋" w:hAnsi="仿宋" w:eastAsia="仿宋"/>
          <w:color w:val="000000" w:themeColor="text1"/>
          <w:sz w:val="32"/>
          <w:szCs w:val="32"/>
          <w:highlight w:val="none"/>
          <w:lang w:val="en-US" w:eastAsia="zh-CN"/>
          <w14:textFill>
            <w14:solidFill>
              <w14:schemeClr w14:val="tx1"/>
            </w14:solidFill>
          </w14:textFill>
        </w:rPr>
        <w:t>2210201</w:t>
      </w:r>
      <w:r>
        <w:rPr>
          <w:rFonts w:hint="eastAsia" w:ascii="仿宋" w:hAnsi="仿宋" w:eastAsia="仿宋"/>
          <w:color w:val="000000" w:themeColor="text1"/>
          <w:sz w:val="32"/>
          <w:szCs w:val="32"/>
          <w:highlight w:val="none"/>
          <w:lang w:eastAsia="zh-CN"/>
          <w14:textFill>
            <w14:solidFill>
              <w14:schemeClr w14:val="tx1"/>
            </w14:solidFill>
          </w14:textFill>
        </w:rPr>
        <w:t>－住房公积金</w:t>
      </w:r>
      <w:r>
        <w:rPr>
          <w:rFonts w:hint="eastAsia" w:ascii="仿宋" w:hAnsi="仿宋" w:eastAsia="仿宋"/>
          <w:color w:val="000000" w:themeColor="text1"/>
          <w:sz w:val="32"/>
          <w:szCs w:val="32"/>
          <w:highlight w:val="none"/>
          <w:lang w:val="en-US" w:eastAsia="zh-CN"/>
          <w14:textFill>
            <w14:solidFill>
              <w14:schemeClr w14:val="tx1"/>
            </w14:solidFill>
          </w14:textFill>
        </w:rPr>
        <w:t>47.37</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23.85</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101.4</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（二十二）</w:t>
      </w:r>
      <w:r>
        <w:rPr>
          <w:rFonts w:hint="eastAsia" w:ascii="仿宋" w:hAnsi="仿宋" w:eastAsia="仿宋"/>
          <w:color w:val="000000" w:themeColor="text1"/>
          <w:sz w:val="32"/>
          <w:szCs w:val="32"/>
          <w:highlight w:val="none"/>
          <w:lang w:val="en-US" w:eastAsia="zh-CN"/>
          <w14:textFill>
            <w14:solidFill>
              <w14:schemeClr w14:val="tx1"/>
            </w14:solidFill>
          </w14:textFill>
        </w:rPr>
        <w:t>2240101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6.51</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0.36</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5.85</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FF0000"/>
          <w:sz w:val="32"/>
          <w:szCs w:val="32"/>
          <w:highlight w:val="none"/>
        </w:rPr>
      </w:pPr>
      <w:r>
        <w:rPr>
          <w:rFonts w:hint="eastAsia" w:ascii="仿宋" w:hAnsi="仿宋" w:eastAsia="仿宋"/>
          <w:color w:val="000000" w:themeColor="text1"/>
          <w:sz w:val="32"/>
          <w:szCs w:val="32"/>
          <w:highlight w:val="none"/>
          <w:lang w:eastAsia="zh-CN"/>
          <w14:textFill>
            <w14:solidFill>
              <w14:schemeClr w14:val="tx1"/>
            </w14:solidFill>
          </w14:textFill>
        </w:rPr>
        <w:t>（二十三）</w:t>
      </w:r>
      <w:r>
        <w:rPr>
          <w:rFonts w:hint="eastAsia" w:ascii="仿宋" w:hAnsi="仿宋" w:eastAsia="仿宋"/>
          <w:color w:val="000000" w:themeColor="text1"/>
          <w:sz w:val="32"/>
          <w:szCs w:val="32"/>
          <w:highlight w:val="none"/>
          <w:lang w:val="en-US" w:eastAsia="zh-CN"/>
          <w14:textFill>
            <w14:solidFill>
              <w14:schemeClr w14:val="tx1"/>
            </w14:solidFill>
          </w14:textFill>
        </w:rPr>
        <w:t>2299999</w:t>
      </w:r>
      <w:r>
        <w:rPr>
          <w:rFonts w:hint="eastAsia" w:ascii="仿宋" w:hAnsi="仿宋" w:eastAsia="仿宋"/>
          <w:color w:val="000000" w:themeColor="text1"/>
          <w:sz w:val="32"/>
          <w:szCs w:val="32"/>
          <w:highlight w:val="none"/>
          <w:lang w:eastAsia="zh-CN"/>
          <w14:textFill>
            <w14:solidFill>
              <w14:schemeClr w14:val="tx1"/>
            </w14:solidFill>
          </w14:textFill>
        </w:rPr>
        <w:t>－其他支出</w:t>
      </w:r>
      <w:r>
        <w:rPr>
          <w:rFonts w:hint="eastAsia" w:ascii="仿宋" w:hAnsi="仿宋" w:eastAsia="仿宋"/>
          <w:color w:val="000000" w:themeColor="text1"/>
          <w:sz w:val="32"/>
          <w:szCs w:val="32"/>
          <w:highlight w:val="none"/>
          <w:lang w:val="en-US" w:eastAsia="zh-CN"/>
          <w14:textFill>
            <w14:solidFill>
              <w14:schemeClr w14:val="tx1"/>
            </w14:solidFill>
          </w14:textFill>
        </w:rPr>
        <w:t>14.4</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68.37</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82.6</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日常支出公用经费减少</w:t>
      </w:r>
      <w:r>
        <w:rPr>
          <w:rFonts w:ascii="仿宋" w:hAnsi="仿宋" w:eastAsia="仿宋"/>
          <w:color w:val="000000" w:themeColor="text1"/>
          <w:sz w:val="32"/>
          <w:szCs w:val="32"/>
          <w:highlight w:val="none"/>
          <w14:textFill>
            <w14:solidFill>
              <w14:schemeClr w14:val="tx1"/>
            </w14:solidFill>
          </w14:textFill>
        </w:rPr>
        <w:t>。</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三、政府性基金预算财政拨款支出决算情况说明</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2022</w:t>
      </w:r>
      <w:r>
        <w:rPr>
          <w:rFonts w:hint="eastAsia" w:ascii="仿宋" w:hAnsi="仿宋" w:eastAsia="仿宋" w:cs="仿宋"/>
          <w:sz w:val="32"/>
          <w:szCs w:val="32"/>
        </w:rPr>
        <w:t>年度没有使用政府性基金预算拨款安排的支出。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四、国有资本经营预算财政拨款支出决算情况说明</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2022</w:t>
      </w:r>
      <w:r>
        <w:rPr>
          <w:rFonts w:hint="eastAsia" w:ascii="仿宋" w:hAnsi="仿宋" w:eastAsia="仿宋" w:cs="仿宋"/>
          <w:sz w:val="32"/>
          <w:szCs w:val="32"/>
        </w:rPr>
        <w:t>年度没有使用国有资本经营预算财政拨款安排的支出。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五、一般公共预算财政拨款基本支出决算情况说明</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879.61</w:t>
      </w:r>
      <w:r>
        <w:rPr>
          <w:rFonts w:hint="eastAsia" w:ascii="仿宋" w:hAnsi="仿宋" w:eastAsia="仿宋" w:cs="仿宋"/>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556.29</w:t>
      </w:r>
      <w:r>
        <w:rPr>
          <w:rFonts w:hint="eastAsia" w:ascii="仿宋" w:hAnsi="仿宋" w:eastAsia="仿宋" w:cs="仿宋_GB231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323.32</w:t>
      </w:r>
      <w:r>
        <w:rPr>
          <w:rFonts w:hint="eastAsia" w:ascii="仿宋" w:hAnsi="仿宋" w:eastAsia="仿宋" w:cs="仿宋_GB2312"/>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lang w:val="en-US" w:eastAsia="zh-CN"/>
        </w:rPr>
        <w:t>2022</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“三公”经费</w:t>
      </w:r>
      <w:r>
        <w:rPr>
          <w:rFonts w:hint="eastAsia" w:ascii="仿宋" w:hAnsi="仿宋" w:eastAsia="仿宋" w:cs="仿宋_GB2312"/>
          <w:sz w:val="32"/>
          <w:szCs w:val="32"/>
        </w:rPr>
        <w:t>财政拨款支出</w:t>
      </w:r>
      <w:r>
        <w:rPr>
          <w:rFonts w:hint="eastAsia" w:ascii="仿宋" w:hAnsi="仿宋" w:eastAsia="仿宋" w:cs="仿宋_GB2312"/>
          <w:sz w:val="32"/>
          <w:szCs w:val="32"/>
          <w:lang w:val="en-US" w:eastAsia="zh-CN"/>
        </w:rPr>
        <w:t>6.15</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12.14</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严格控制“三公”经费财政拨款支出</w:t>
      </w:r>
      <w:r>
        <w:rPr>
          <w:rFonts w:hint="eastAsia" w:ascii="仿宋" w:hAnsi="仿宋" w:eastAsia="仿宋" w:cs="仿宋_GB2312"/>
          <w:sz w:val="32"/>
          <w:szCs w:val="32"/>
        </w:rPr>
        <w:t>。</w:t>
      </w:r>
      <w:r>
        <w:rPr>
          <w:rFonts w:ascii="仿宋" w:hAnsi="仿宋" w:eastAsia="仿宋" w:cs="仿宋_GB2312"/>
          <w:sz w:val="32"/>
          <w:szCs w:val="32"/>
        </w:rPr>
        <w:t>具体情况如下：</w:t>
      </w:r>
      <w:r>
        <w:rPr>
          <w:rFonts w:ascii="仿宋" w:hAnsi="仿宋" w:eastAsia="仿宋" w:cs="仿宋_GB2312"/>
          <w:sz w:val="32"/>
          <w:szCs w:val="32"/>
        </w:rPr>
        <w:br w:type="textWrapping"/>
      </w:r>
      <w:r>
        <w:rPr>
          <w:rFonts w:hint="eastAsia" w:ascii="仿宋" w:hAnsi="仿宋" w:eastAsia="仿宋" w:cs="仿宋_GB2312"/>
          <w:sz w:val="32"/>
          <w:szCs w:val="32"/>
        </w:rPr>
        <w:t>　　（一）因公出国（境）费支出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。全年安排本部门组织的出国团组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个，参加其他部门出国团组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个；全年因公出国（境）累计</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人次。</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3.55</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11.25</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公车运行维护等支出减少，</w:t>
      </w:r>
      <w:r>
        <w:rPr>
          <w:rFonts w:hint="eastAsia" w:ascii="仿宋" w:hAnsi="仿宋" w:eastAsia="仿宋" w:cs="仿宋_GB2312"/>
          <w:sz w:val="32"/>
          <w:szCs w:val="32"/>
          <w:lang w:val="en-US" w:eastAsia="zh-CN"/>
        </w:rPr>
        <w:t>2022年没有公务公车购置计划</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lang w:val="en-US" w:eastAsia="zh-CN"/>
        </w:rPr>
        <w:t>2022</w:t>
      </w:r>
      <w:r>
        <w:rPr>
          <w:rFonts w:ascii="仿宋" w:hAnsi="仿宋" w:eastAsia="仿宋" w:cs="仿宋_GB2312"/>
          <w:sz w:val="32"/>
          <w:szCs w:val="32"/>
        </w:rPr>
        <w:t>年公务用车购置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hint="eastAsia" w:ascii="仿宋" w:hAnsi="仿宋" w:eastAsia="仿宋" w:cs="仿宋_GB2312"/>
          <w:sz w:val="32"/>
          <w:szCs w:val="32"/>
          <w:lang w:val="en-US" w:eastAsia="zh-CN"/>
        </w:rPr>
        <w:t>3.55</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11.25</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公车运行维护等支出减少</w:t>
      </w:r>
      <w:r>
        <w:rPr>
          <w:rFonts w:hint="eastAsia" w:ascii="仿宋" w:hAnsi="仿宋" w:eastAsia="仿宋" w:cs="仿宋_GB2312"/>
          <w:sz w:val="32"/>
          <w:szCs w:val="32"/>
        </w:rPr>
        <w:t>。截至</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日，本部门公务用车保有量为</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sz w:val="32"/>
          <w:szCs w:val="32"/>
        </w:rPr>
        <w:t>辆</w:t>
      </w:r>
      <w:r>
        <w:rPr>
          <w:rFonts w:ascii="仿宋" w:hAnsi="仿宋" w:eastAsia="仿宋" w:cs="仿宋_GB2312"/>
          <w:sz w:val="32"/>
          <w:szCs w:val="32"/>
        </w:rPr>
        <w:t>。</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与</w:t>
      </w:r>
      <w:r>
        <w:rPr>
          <w:rFonts w:hint="eastAsia" w:ascii="仿宋" w:hAnsi="仿宋" w:eastAsia="仿宋" w:cs="仿宋_GB2312"/>
          <w:sz w:val="32"/>
          <w:szCs w:val="32"/>
        </w:rPr>
        <w:t>本年预算的</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13.33</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漳平以外公务来访人员减少</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七、预算绩效情况说明</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仿宋" w:hAnsi="仿宋" w:eastAsia="仿宋"/>
          <w:sz w:val="32"/>
          <w:szCs w:val="32"/>
        </w:rPr>
        <w:t>根据预算绩效管理要求，本部门组织对</w:t>
      </w:r>
      <w:r>
        <w:rPr>
          <w:rFonts w:hint="eastAsia" w:ascii="仿宋" w:hAnsi="仿宋" w:eastAsia="仿宋" w:cs="仿宋_GB2312"/>
          <w:sz w:val="32"/>
          <w:szCs w:val="32"/>
          <w:lang w:val="en-US" w:eastAsia="zh-CN"/>
        </w:rPr>
        <w:t>2022</w:t>
      </w:r>
      <w:r>
        <w:rPr>
          <w:rFonts w:hint="eastAsia" w:ascii="仿宋" w:hAnsi="仿宋" w:eastAsia="仿宋"/>
          <w:sz w:val="32"/>
          <w:szCs w:val="32"/>
        </w:rPr>
        <w:t>年度</w:t>
      </w:r>
      <w:r>
        <w:rPr>
          <w:rFonts w:hint="eastAsia" w:ascii="仿宋" w:hAnsi="仿宋" w:eastAsia="仿宋"/>
          <w:sz w:val="32"/>
          <w:szCs w:val="32"/>
          <w:lang w:val="en-US" w:eastAsia="zh-CN"/>
        </w:rPr>
        <w:t>1</w:t>
      </w:r>
      <w:r>
        <w:rPr>
          <w:rFonts w:hint="eastAsia" w:ascii="仿宋" w:hAnsi="仿宋" w:eastAsia="仿宋"/>
          <w:sz w:val="32"/>
          <w:szCs w:val="32"/>
        </w:rPr>
        <w:t>个项目实施单位自评，</w:t>
      </w:r>
      <w:r>
        <w:rPr>
          <w:rFonts w:hint="eastAsia" w:ascii="仿宋" w:hAnsi="仿宋" w:eastAsia="仿宋"/>
          <w:sz w:val="32"/>
          <w:szCs w:val="32"/>
          <w:lang w:eastAsia="zh-CN"/>
        </w:rPr>
        <w:t>为2022年省级服务业发展引导资金（久鸣村直播基地）</w:t>
      </w:r>
      <w:r>
        <w:rPr>
          <w:rFonts w:hint="eastAsia" w:ascii="仿宋" w:hAnsi="仿宋" w:eastAsia="仿宋"/>
          <w:sz w:val="32"/>
          <w:szCs w:val="32"/>
        </w:rPr>
        <w:t>项目，涉及财政拨款资金共计</w:t>
      </w:r>
      <w:r>
        <w:rPr>
          <w:rFonts w:hint="eastAsia" w:ascii="仿宋" w:hAnsi="仿宋" w:eastAsia="仿宋"/>
          <w:sz w:val="32"/>
          <w:szCs w:val="32"/>
          <w:lang w:val="en-US" w:eastAsia="zh-CN"/>
        </w:rPr>
        <w:t>30</w:t>
      </w:r>
      <w:r>
        <w:rPr>
          <w:rFonts w:hint="eastAsia" w:ascii="仿宋" w:hAnsi="仿宋" w:eastAsia="仿宋"/>
          <w:sz w:val="32"/>
          <w:szCs w:val="32"/>
        </w:rPr>
        <w:t>万元。（《项目支出绩效自评表》详见附件</w:t>
      </w:r>
      <w:r>
        <w:rPr>
          <w:rFonts w:hint="eastAsia" w:ascii="仿宋" w:hAnsi="仿宋" w:eastAsia="仿宋"/>
          <w:sz w:val="32"/>
          <w:szCs w:val="32"/>
          <w:lang w:val="en-US" w:eastAsia="zh-CN"/>
        </w:rPr>
        <w:t>一</w:t>
      </w:r>
      <w:r>
        <w:rPr>
          <w:rFonts w:hint="eastAsia" w:ascii="仿宋" w:hAnsi="仿宋" w:eastAsia="仿宋"/>
          <w:sz w:val="32"/>
          <w:szCs w:val="32"/>
        </w:rPr>
        <w:t>）</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八、其他重要事项说明</w:t>
      </w:r>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年度</w:t>
      </w:r>
      <w:r>
        <w:rPr>
          <w:rFonts w:ascii="仿宋" w:hAnsi="仿宋" w:eastAsia="仿宋" w:cs="仿宋_GB2312"/>
          <w:sz w:val="32"/>
          <w:szCs w:val="32"/>
        </w:rPr>
        <w:t>机关运行经费支出</w:t>
      </w:r>
      <w:r>
        <w:rPr>
          <w:rFonts w:hint="eastAsia" w:ascii="仿宋" w:hAnsi="仿宋" w:eastAsia="仿宋" w:cs="仿宋_GB2312"/>
          <w:sz w:val="32"/>
          <w:szCs w:val="32"/>
          <w:lang w:val="en-US" w:eastAsia="zh-CN"/>
        </w:rPr>
        <w:t>323.32</w:t>
      </w:r>
      <w:r>
        <w:rPr>
          <w:rFonts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67.53</w:t>
      </w:r>
      <w:r>
        <w:rPr>
          <w:rFonts w:ascii="仿宋" w:hAnsi="仿宋" w:eastAsia="仿宋" w:cs="仿宋_GB2312"/>
          <w:sz w:val="32"/>
          <w:szCs w:val="32"/>
        </w:rPr>
        <w:t>%，主要是</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rPr>
        <w:t>比上年机关运行经费支出有所</w:t>
      </w:r>
      <w:r>
        <w:rPr>
          <w:rFonts w:hint="eastAsia" w:ascii="仿宋" w:hAnsi="仿宋" w:eastAsia="仿宋" w:cs="仿宋_GB2312"/>
          <w:sz w:val="32"/>
          <w:szCs w:val="32"/>
          <w:lang w:eastAsia="zh-CN"/>
        </w:rPr>
        <w:t>减少</w:t>
      </w:r>
      <w:r>
        <w:rPr>
          <w:rFonts w:ascii="仿宋" w:hAnsi="仿宋" w:eastAsia="仿宋" w:cs="仿宋_GB2312"/>
          <w:sz w:val="32"/>
          <w:szCs w:val="32"/>
        </w:rPr>
        <w:t>。</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tabs>
          <w:tab w:val="left" w:pos="7513"/>
        </w:tabs>
        <w:adjustRightInd w:val="0"/>
        <w:snapToGrid w:val="0"/>
        <w:spacing w:line="600" w:lineRule="exact"/>
        <w:ind w:firstLine="640" w:firstLineChars="200"/>
        <w:rPr>
          <w:rFonts w:hint="eastAsia" w:ascii="楷体" w:hAnsi="楷体" w:eastAsia="仿宋"/>
          <w:sz w:val="32"/>
          <w:szCs w:val="32"/>
          <w:lang w:eastAsia="zh-CN"/>
        </w:rPr>
      </w:pPr>
      <w:r>
        <w:rPr>
          <w:rFonts w:hint="eastAsia" w:ascii="仿宋" w:hAnsi="仿宋" w:eastAsia="仿宋" w:cs="仿宋_GB2312"/>
          <w:sz w:val="32"/>
          <w:szCs w:val="32"/>
          <w:lang w:eastAsia="zh-CN"/>
        </w:rPr>
        <w:t>本单位</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年度没有政府采购支出</w:t>
      </w:r>
      <w:r>
        <w:rPr>
          <w:rFonts w:hint="eastAsia" w:ascii="仿宋" w:hAnsi="仿宋" w:eastAsia="仿宋" w:cs="仿宋_GB2312"/>
          <w:sz w:val="32"/>
          <w:szCs w:val="32"/>
          <w:lang w:eastAsia="zh-CN"/>
        </w:rPr>
        <w:t>。</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hint="eastAsia" w:ascii="仿宋" w:hAnsi="仿宋" w:eastAsia="仿宋" w:cs="仿宋_GB2312"/>
          <w:sz w:val="32"/>
          <w:szCs w:val="32"/>
          <w:lang w:val="en-US" w:eastAsia="zh-CN"/>
        </w:rPr>
        <w:t>2022</w:t>
      </w:r>
      <w:r>
        <w:rPr>
          <w:rFonts w:hint="eastAsia" w:ascii="仿宋" w:hAnsi="仿宋" w:eastAsia="仿宋" w:cs="仿宋_GB2312"/>
          <w:kern w:val="0"/>
          <w:sz w:val="32"/>
          <w:szCs w:val="32"/>
        </w:rPr>
        <w:t>年</w:t>
      </w:r>
      <w:r>
        <w:rPr>
          <w:rFonts w:ascii="仿宋" w:hAnsi="仿宋" w:eastAsia="仿宋" w:cs="仿宋_GB2312"/>
          <w:kern w:val="0"/>
          <w:sz w:val="32"/>
          <w:szCs w:val="32"/>
        </w:rPr>
        <w:t>12月31日，本部门共有车辆</w:t>
      </w:r>
      <w:r>
        <w:rPr>
          <w:rFonts w:hint="eastAsia" w:ascii="仿宋" w:hAnsi="仿宋" w:eastAsia="仿宋" w:cs="仿宋_GB2312"/>
          <w:sz w:val="32"/>
          <w:szCs w:val="32"/>
          <w:lang w:val="en-US" w:eastAsia="zh-CN"/>
        </w:rPr>
        <w:t>3</w:t>
      </w:r>
      <w:r>
        <w:rPr>
          <w:rFonts w:hint="eastAsia" w:ascii="仿宋" w:hAnsi="仿宋" w:eastAsia="仿宋" w:cs="仿宋_GB2312"/>
          <w:kern w:val="0"/>
          <w:sz w:val="32"/>
          <w:szCs w:val="32"/>
        </w:rPr>
        <w:t>辆，其中：副部（省）级以上领导用车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sz w:val="32"/>
          <w:szCs w:val="32"/>
          <w:lang w:val="en-US" w:eastAsia="zh-CN"/>
        </w:rPr>
        <w:t>3</w:t>
      </w:r>
      <w:r>
        <w:rPr>
          <w:rFonts w:hint="eastAsia" w:ascii="仿宋" w:hAnsi="仿宋" w:eastAsia="仿宋" w:cs="仿宋_GB2312"/>
          <w:kern w:val="0"/>
          <w:sz w:val="32"/>
          <w:szCs w:val="32"/>
        </w:rPr>
        <w:t>辆、特种专业技术用车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辆；单价</w:t>
      </w:r>
      <w:r>
        <w:rPr>
          <w:rFonts w:ascii="仿宋" w:hAnsi="仿宋" w:eastAsia="仿宋" w:cs="仿宋_GB2312"/>
          <w:kern w:val="0"/>
          <w:sz w:val="32"/>
          <w:szCs w:val="32"/>
        </w:rPr>
        <w:t>100万元（含）以上设备</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台（套）。</w:t>
      </w:r>
    </w:p>
    <w:p>
      <w:pPr>
        <w:autoSpaceDE w:val="0"/>
        <w:autoSpaceDN w:val="0"/>
        <w:adjustRightInd w:val="0"/>
        <w:spacing w:line="600" w:lineRule="exact"/>
        <w:ind w:firstLine="640" w:firstLineChars="200"/>
        <w:jc w:val="left"/>
        <w:rPr>
          <w:rFonts w:ascii="仿宋" w:hAnsi="仿宋" w:eastAsia="仿宋" w:cs="仿宋_GB2312"/>
          <w:sz w:val="32"/>
          <w:szCs w:val="32"/>
        </w:rPr>
      </w:pPr>
    </w:p>
    <w:p>
      <w:pPr>
        <w:widowControl/>
        <w:spacing w:line="240" w:lineRule="auto"/>
        <w:jc w:val="left"/>
        <w:rPr>
          <w:rFonts w:ascii="黑体" w:hAnsi="黑体" w:eastAsia="黑体"/>
          <w:sz w:val="36"/>
          <w:szCs w:val="36"/>
        </w:rPr>
      </w:pPr>
      <w:r>
        <w:rPr>
          <w:rFonts w:ascii="黑体" w:hAnsi="黑体" w:eastAsia="黑体"/>
          <w:sz w:val="36"/>
          <w:szCs w:val="36"/>
        </w:rPr>
        <w:br w:type="page"/>
      </w:r>
    </w:p>
    <w:p>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第四部分 名词解释</w:t>
      </w:r>
    </w:p>
    <w:p>
      <w:pPr>
        <w:autoSpaceDE w:val="0"/>
        <w:autoSpaceDN w:val="0"/>
        <w:adjustRightInd w:val="0"/>
        <w:spacing w:line="600" w:lineRule="exact"/>
        <w:ind w:firstLine="640" w:firstLineChars="200"/>
        <w:jc w:val="left"/>
        <w:rPr>
          <w:rFonts w:ascii="仿宋" w:hAnsi="仿宋" w:eastAsia="仿宋" w:cs="仿宋_GB2312"/>
          <w:kern w:val="0"/>
          <w:sz w:val="32"/>
          <w:szCs w:val="32"/>
        </w:r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一、一般公共预算财政拨款收入：</w:t>
      </w:r>
      <w:r>
        <w:rPr>
          <w:rFonts w:hint="eastAsia" w:ascii="仿宋" w:hAnsi="仿宋" w:eastAsia="仿宋" w:cs="仿宋"/>
          <w:color w:val="000000"/>
          <w:kern w:val="0"/>
          <w:sz w:val="32"/>
          <w:szCs w:val="32"/>
        </w:rPr>
        <w:t xml:space="preserve">指本级财政当年拨付的资金。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rPr>
        <w:t>事业收入</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 xml:space="preserve">等以外的收入。主要是事业单位固定资产出租收入、存款利息收入等。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纳入省级财政预决算管理的</w:t>
      </w:r>
      <w:r>
        <w:rPr>
          <w:rFonts w:ascii="仿宋" w:hAnsi="仿宋" w:eastAsia="仿宋" w:cs="仿宋"/>
          <w:sz w:val="32"/>
          <w:szCs w:val="32"/>
        </w:rPr>
        <w:t>“</w:t>
      </w:r>
      <w:r>
        <w:rPr>
          <w:rFonts w:hint="eastAsia" w:ascii="仿宋" w:hAnsi="仿宋" w:eastAsia="仿宋" w:cs="仿宋"/>
          <w:sz w:val="32"/>
          <w:szCs w:val="32"/>
        </w:rPr>
        <w:t>三公</w:t>
      </w:r>
      <w:r>
        <w:rPr>
          <w:rFonts w:ascii="仿宋" w:hAnsi="仿宋" w:eastAsia="仿宋" w:cs="仿宋"/>
          <w:sz w:val="32"/>
          <w:szCs w:val="32"/>
        </w:rPr>
        <w:t>”</w:t>
      </w:r>
      <w:r>
        <w:rPr>
          <w:rFonts w:hint="eastAsia" w:ascii="仿宋" w:hAnsi="仿宋" w:eastAsia="仿宋" w:cs="仿宋"/>
          <w:sz w:val="32"/>
          <w:szCs w:val="32"/>
        </w:rPr>
        <w:t xml:space="preserve">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sz w:val="32"/>
          <w:szCs w:val="32"/>
        </w:rPr>
      </w:pPr>
    </w:p>
    <w:p>
      <w:pPr>
        <w:widowControl/>
        <w:spacing w:line="240" w:lineRule="auto"/>
        <w:jc w:val="left"/>
        <w:rPr>
          <w:rFonts w:ascii="黑体" w:hAnsi="黑体" w:eastAsia="黑体"/>
          <w:sz w:val="36"/>
          <w:szCs w:val="36"/>
        </w:rPr>
      </w:pPr>
      <w:r>
        <w:rPr>
          <w:rFonts w:ascii="黑体" w:hAnsi="黑体" w:eastAsia="黑体"/>
          <w:sz w:val="36"/>
          <w:szCs w:val="36"/>
        </w:rPr>
        <w:br w:type="page"/>
      </w:r>
    </w:p>
    <w:p>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第五部分 附件</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一、《项目支出绩效自评表》</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 xml:space="preserve">（ </w:t>
            </w:r>
            <w:r>
              <w:rPr>
                <w:rFonts w:hint="eastAsia" w:ascii="宋体" w:hAnsi="宋体" w:eastAsia="宋体" w:cs="宋体"/>
                <w:kern w:val="0"/>
                <w:sz w:val="22"/>
                <w:lang w:val="en-US" w:eastAsia="zh-CN"/>
              </w:rPr>
              <w:t>2022</w:t>
            </w:r>
            <w:r>
              <w:rPr>
                <w:rFonts w:hint="eastAsia" w:ascii="宋体" w:hAnsi="宋体" w:eastAsia="宋体" w:cs="宋体"/>
                <w:kern w:val="0"/>
                <w:sz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2022年省级服务业发展引导资金</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漳平市财政局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漳平市溪南镇人民政府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直播基地项目奖补执行良好，保障项目建设质量和效益，完工项目可初步发挥效益。</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直播基地项目奖补执行良好，保障项目建设质量和效益，完工项目可初步发挥效益。</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支持项目个数</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项目工程质量合格率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奖补资金下达及时率</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奖补资金额</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30万元</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30万元</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拉动社会资本投资率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公众知晓率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生态环境影响控制基本符合要求的比例</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项目持续发展效益时间</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服务对象、合作方基本满意比例</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ind w:firstLine="640" w:firstLineChars="200"/>
        <w:jc w:val="left"/>
        <w:rPr>
          <w:rFonts w:ascii="仿宋" w:hAnsi="仿宋" w:eastAsia="仿宋"/>
          <w:sz w:val="32"/>
          <w:szCs w:val="32"/>
        </w:rPr>
      </w:pPr>
    </w:p>
    <w:sectPr>
      <w:pgSz w:w="11906" w:h="16838"/>
      <w:pgMar w:top="1702" w:right="1800" w:bottom="1843"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404197"/>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171"/>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47479171"/>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TJiMjA0MzVhMGY1MTg3ZjllZmRhMDdkMWU1MWUifQ=="/>
  </w:docVars>
  <w:rsids>
    <w:rsidRoot w:val="00B409A9"/>
    <w:rsid w:val="00004305"/>
    <w:rsid w:val="0002351C"/>
    <w:rsid w:val="00051C06"/>
    <w:rsid w:val="0007452D"/>
    <w:rsid w:val="00086558"/>
    <w:rsid w:val="000E0654"/>
    <w:rsid w:val="000F1138"/>
    <w:rsid w:val="0010732F"/>
    <w:rsid w:val="001270F2"/>
    <w:rsid w:val="0012746F"/>
    <w:rsid w:val="0014407E"/>
    <w:rsid w:val="00145556"/>
    <w:rsid w:val="00145E5D"/>
    <w:rsid w:val="001618A9"/>
    <w:rsid w:val="00167580"/>
    <w:rsid w:val="001731FE"/>
    <w:rsid w:val="00177B1F"/>
    <w:rsid w:val="001902C5"/>
    <w:rsid w:val="00192491"/>
    <w:rsid w:val="00193F98"/>
    <w:rsid w:val="001A0FC3"/>
    <w:rsid w:val="001C0FCB"/>
    <w:rsid w:val="001C2C68"/>
    <w:rsid w:val="001E09A7"/>
    <w:rsid w:val="001E1870"/>
    <w:rsid w:val="00211534"/>
    <w:rsid w:val="00215A7F"/>
    <w:rsid w:val="0023447B"/>
    <w:rsid w:val="00243516"/>
    <w:rsid w:val="0027318D"/>
    <w:rsid w:val="00273D47"/>
    <w:rsid w:val="002C6AB2"/>
    <w:rsid w:val="00306AAB"/>
    <w:rsid w:val="00340EF1"/>
    <w:rsid w:val="00377FF0"/>
    <w:rsid w:val="003B74A4"/>
    <w:rsid w:val="003C28CE"/>
    <w:rsid w:val="003C6215"/>
    <w:rsid w:val="003D6C67"/>
    <w:rsid w:val="003F76FA"/>
    <w:rsid w:val="004055E6"/>
    <w:rsid w:val="004109D8"/>
    <w:rsid w:val="00410CA2"/>
    <w:rsid w:val="00413168"/>
    <w:rsid w:val="004C7FDB"/>
    <w:rsid w:val="004F1429"/>
    <w:rsid w:val="004F1FFD"/>
    <w:rsid w:val="004F60FA"/>
    <w:rsid w:val="005004C8"/>
    <w:rsid w:val="00503B71"/>
    <w:rsid w:val="005103AE"/>
    <w:rsid w:val="00540990"/>
    <w:rsid w:val="00551698"/>
    <w:rsid w:val="005636F9"/>
    <w:rsid w:val="005C4F6D"/>
    <w:rsid w:val="005C7CE0"/>
    <w:rsid w:val="005D70CB"/>
    <w:rsid w:val="006344C4"/>
    <w:rsid w:val="0064397E"/>
    <w:rsid w:val="00644184"/>
    <w:rsid w:val="006567CB"/>
    <w:rsid w:val="006A3BD6"/>
    <w:rsid w:val="006D6AF4"/>
    <w:rsid w:val="006E094F"/>
    <w:rsid w:val="006F10EF"/>
    <w:rsid w:val="007117C7"/>
    <w:rsid w:val="007310D0"/>
    <w:rsid w:val="00734771"/>
    <w:rsid w:val="00750DC4"/>
    <w:rsid w:val="00766364"/>
    <w:rsid w:val="00776C80"/>
    <w:rsid w:val="007A599F"/>
    <w:rsid w:val="007A776B"/>
    <w:rsid w:val="007B05ED"/>
    <w:rsid w:val="007B0B86"/>
    <w:rsid w:val="007B6D34"/>
    <w:rsid w:val="007F1BFC"/>
    <w:rsid w:val="007F6670"/>
    <w:rsid w:val="00812434"/>
    <w:rsid w:val="00832783"/>
    <w:rsid w:val="008570CD"/>
    <w:rsid w:val="00857B1A"/>
    <w:rsid w:val="00860E9C"/>
    <w:rsid w:val="00883CFD"/>
    <w:rsid w:val="0089210B"/>
    <w:rsid w:val="0089563B"/>
    <w:rsid w:val="008D6DB5"/>
    <w:rsid w:val="009132B2"/>
    <w:rsid w:val="00966D58"/>
    <w:rsid w:val="009B6161"/>
    <w:rsid w:val="009D759E"/>
    <w:rsid w:val="00A177A9"/>
    <w:rsid w:val="00A47F42"/>
    <w:rsid w:val="00A82B32"/>
    <w:rsid w:val="00AA51A1"/>
    <w:rsid w:val="00AD5B1D"/>
    <w:rsid w:val="00AF47E3"/>
    <w:rsid w:val="00B0041F"/>
    <w:rsid w:val="00B02F45"/>
    <w:rsid w:val="00B07CFA"/>
    <w:rsid w:val="00B409A9"/>
    <w:rsid w:val="00B636AD"/>
    <w:rsid w:val="00B71127"/>
    <w:rsid w:val="00B949B5"/>
    <w:rsid w:val="00B97F1C"/>
    <w:rsid w:val="00BB547D"/>
    <w:rsid w:val="00BD45E7"/>
    <w:rsid w:val="00BE21C6"/>
    <w:rsid w:val="00C059EF"/>
    <w:rsid w:val="00C122CC"/>
    <w:rsid w:val="00C43427"/>
    <w:rsid w:val="00C81499"/>
    <w:rsid w:val="00C82ECE"/>
    <w:rsid w:val="00CC3692"/>
    <w:rsid w:val="00CC6497"/>
    <w:rsid w:val="00CD26E1"/>
    <w:rsid w:val="00CD35BB"/>
    <w:rsid w:val="00CD49AD"/>
    <w:rsid w:val="00D0143C"/>
    <w:rsid w:val="00D3337B"/>
    <w:rsid w:val="00D426E9"/>
    <w:rsid w:val="00D502CB"/>
    <w:rsid w:val="00D52F5C"/>
    <w:rsid w:val="00D55833"/>
    <w:rsid w:val="00D74882"/>
    <w:rsid w:val="00DD6708"/>
    <w:rsid w:val="00E104EE"/>
    <w:rsid w:val="00E47C61"/>
    <w:rsid w:val="00E61B46"/>
    <w:rsid w:val="00E63B08"/>
    <w:rsid w:val="00E70C9D"/>
    <w:rsid w:val="00E83A1A"/>
    <w:rsid w:val="00E861E2"/>
    <w:rsid w:val="00E933DB"/>
    <w:rsid w:val="00EA50C7"/>
    <w:rsid w:val="00ED22FC"/>
    <w:rsid w:val="00EE5E11"/>
    <w:rsid w:val="00EF1A66"/>
    <w:rsid w:val="00F01815"/>
    <w:rsid w:val="00F26985"/>
    <w:rsid w:val="00F527F2"/>
    <w:rsid w:val="00F63954"/>
    <w:rsid w:val="00FB4399"/>
    <w:rsid w:val="00FB707A"/>
    <w:rsid w:val="00FF293C"/>
    <w:rsid w:val="03C7096E"/>
    <w:rsid w:val="04FC43EA"/>
    <w:rsid w:val="062D71EF"/>
    <w:rsid w:val="07723E3D"/>
    <w:rsid w:val="0A1B3701"/>
    <w:rsid w:val="0B3D750A"/>
    <w:rsid w:val="0D430477"/>
    <w:rsid w:val="0FF11C76"/>
    <w:rsid w:val="106F1664"/>
    <w:rsid w:val="137E6912"/>
    <w:rsid w:val="13F142FC"/>
    <w:rsid w:val="149A7AE1"/>
    <w:rsid w:val="16EF7215"/>
    <w:rsid w:val="17CC78C9"/>
    <w:rsid w:val="18C37221"/>
    <w:rsid w:val="18ED72B3"/>
    <w:rsid w:val="1A5E686F"/>
    <w:rsid w:val="1AC90DBB"/>
    <w:rsid w:val="1CB515F6"/>
    <w:rsid w:val="1D425A84"/>
    <w:rsid w:val="1D43642C"/>
    <w:rsid w:val="1E5E181A"/>
    <w:rsid w:val="1EB737CA"/>
    <w:rsid w:val="20307817"/>
    <w:rsid w:val="20D5213C"/>
    <w:rsid w:val="211D776A"/>
    <w:rsid w:val="223E208E"/>
    <w:rsid w:val="22DD40A5"/>
    <w:rsid w:val="24637B8A"/>
    <w:rsid w:val="25C13E9D"/>
    <w:rsid w:val="26244751"/>
    <w:rsid w:val="27873B8F"/>
    <w:rsid w:val="285B1B22"/>
    <w:rsid w:val="2A5B474A"/>
    <w:rsid w:val="2B831DAE"/>
    <w:rsid w:val="2C260409"/>
    <w:rsid w:val="2C892F26"/>
    <w:rsid w:val="302F224B"/>
    <w:rsid w:val="31E64944"/>
    <w:rsid w:val="324E45EE"/>
    <w:rsid w:val="32781D91"/>
    <w:rsid w:val="339D6B56"/>
    <w:rsid w:val="33D1550B"/>
    <w:rsid w:val="34322CCE"/>
    <w:rsid w:val="34A30479"/>
    <w:rsid w:val="35A83B07"/>
    <w:rsid w:val="36415851"/>
    <w:rsid w:val="3787277B"/>
    <w:rsid w:val="39BC151B"/>
    <w:rsid w:val="3C4C4A93"/>
    <w:rsid w:val="3C97441D"/>
    <w:rsid w:val="3E9946C1"/>
    <w:rsid w:val="3E9A09BD"/>
    <w:rsid w:val="40D878B2"/>
    <w:rsid w:val="430175E1"/>
    <w:rsid w:val="43910D7A"/>
    <w:rsid w:val="456013AB"/>
    <w:rsid w:val="4A8C5530"/>
    <w:rsid w:val="4B5C61C7"/>
    <w:rsid w:val="4CA0629E"/>
    <w:rsid w:val="4D653795"/>
    <w:rsid w:val="4D991116"/>
    <w:rsid w:val="4ED042A3"/>
    <w:rsid w:val="4EDF0627"/>
    <w:rsid w:val="50DA4284"/>
    <w:rsid w:val="51705511"/>
    <w:rsid w:val="53475024"/>
    <w:rsid w:val="54D04518"/>
    <w:rsid w:val="57007C48"/>
    <w:rsid w:val="597C5E8F"/>
    <w:rsid w:val="5CFE2A44"/>
    <w:rsid w:val="63A903D2"/>
    <w:rsid w:val="64CF0211"/>
    <w:rsid w:val="6549634D"/>
    <w:rsid w:val="65D21085"/>
    <w:rsid w:val="65D318C2"/>
    <w:rsid w:val="66633175"/>
    <w:rsid w:val="678D531F"/>
    <w:rsid w:val="69A91DEB"/>
    <w:rsid w:val="6A44182B"/>
    <w:rsid w:val="6A841F2A"/>
    <w:rsid w:val="6B382482"/>
    <w:rsid w:val="6C031E71"/>
    <w:rsid w:val="6F443FF3"/>
    <w:rsid w:val="709E2062"/>
    <w:rsid w:val="70CB3C99"/>
    <w:rsid w:val="72834A36"/>
    <w:rsid w:val="74122410"/>
    <w:rsid w:val="746B340D"/>
    <w:rsid w:val="766034F6"/>
    <w:rsid w:val="76AE6010"/>
    <w:rsid w:val="79F64778"/>
    <w:rsid w:val="7A2806C4"/>
    <w:rsid w:val="7B987878"/>
    <w:rsid w:val="7CD23A57"/>
    <w:rsid w:val="7E39772C"/>
    <w:rsid w:val="7E3E0CD4"/>
    <w:rsid w:val="7E527BC8"/>
    <w:rsid w:val="7F9A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6"/>
    <w:link w:val="12"/>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275F3-7DFC-43EC-9A18-F41BB5A9BBE2}">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26</Pages>
  <Words>8836</Words>
  <Characters>12970</Characters>
  <Lines>77</Lines>
  <Paragraphs>21</Paragraphs>
  <TotalTime>53</TotalTime>
  <ScaleCrop>false</ScaleCrop>
  <LinksUpToDate>false</LinksUpToDate>
  <CharactersWithSpaces>13267</CharactersWithSpaces>
  <Application>WPS Office_11.1.0.10045_F1E327BC-269C-435d-A152-05C5408002CA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2022-12-01T07:03:00Z</dcterms:created>
  <dc:creator>刘菁</dc:creator>
  <cp:lastModifiedBy>Sananmi</cp:lastModifiedBy>
  <cp:lastPrinted>2023-09-06T03:31:00Z</cp:lastPrinted>
  <dcterms:modified xsi:type="dcterms:W3CDTF">2024-09-06T00:38:16Z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2052-11.1.0.10045</vt:lpwstr>
  </property>
  <property fmtid="{D5CDD505-2E9C-101B-9397-08002B2CF9AE}" pid="3" name="ICV">
    <vt:lpwstr>58B92FFB7B234F9A925C0C511BE6FFA9_13</vt:lpwstr>
  </property>
</Properties>
</file>