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562" w:lineRule="exact"/>
        <w:ind w:right="226"/>
        <w:jc w:val="center"/>
        <w:rPr>
          <w:rFonts w:ascii="黑体" w:hAnsi="黑体" w:eastAsia="黑体" w:cs="宋体"/>
          <w:color w:val="065FA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65FA3"/>
          <w:kern w:val="0"/>
          <w:sz w:val="32"/>
          <w:szCs w:val="32"/>
        </w:rPr>
        <w:t>漳平市农业农村局</w:t>
      </w:r>
      <w:bookmarkStart w:id="0" w:name="_Hlk40001732"/>
      <w:r>
        <w:rPr>
          <w:rFonts w:hint="eastAsia" w:ascii="黑体" w:hAnsi="黑体" w:eastAsia="黑体" w:cs="宋体"/>
          <w:color w:val="065FA3"/>
          <w:kern w:val="0"/>
          <w:sz w:val="32"/>
          <w:szCs w:val="32"/>
        </w:rPr>
        <w:t>水稻、烟叶、小三农、育肥猪能繁母猪保险，渔业互助保险费补贴项目</w:t>
      </w:r>
      <w:bookmarkEnd w:id="0"/>
      <w:r>
        <w:rPr>
          <w:rFonts w:hint="eastAsia" w:ascii="黑体" w:hAnsi="黑体" w:eastAsia="黑体" w:cs="宋体"/>
          <w:color w:val="065FA3"/>
          <w:kern w:val="0"/>
          <w:sz w:val="32"/>
          <w:szCs w:val="32"/>
        </w:rPr>
        <w:t>绩效评价</w:t>
      </w:r>
      <w:r>
        <w:rPr>
          <w:rFonts w:hint="eastAsia" w:asciiTheme="minorEastAsia" w:hAnsiTheme="minorEastAsia"/>
          <w:kern w:val="0"/>
          <w:sz w:val="28"/>
          <w:szCs w:val="28"/>
        </w:rPr>
        <w:t xml:space="preserve"> </w:t>
      </w:r>
    </w:p>
    <w:p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</w:p>
    <w:p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漳平市农业局依托人保财险、国寿财险和太平洋财险三家保险公司，全面开展水稻、烟叶、小三农、育肥猪能繁母猪保险及渔业互助保险等多元化保险服务。</w:t>
      </w:r>
      <w:r>
        <w:rPr>
          <w:rFonts w:asciiTheme="minorEastAsia" w:hAnsiTheme="minorEastAsia"/>
          <w:kern w:val="0"/>
          <w:sz w:val="30"/>
          <w:szCs w:val="30"/>
        </w:rPr>
        <w:t>202</w:t>
      </w:r>
      <w:r>
        <w:rPr>
          <w:rFonts w:hint="eastAsia" w:asciiTheme="minorEastAsia" w:hAnsiTheme="minorEastAsia"/>
          <w:kern w:val="0"/>
          <w:sz w:val="30"/>
          <w:szCs w:val="30"/>
        </w:rPr>
        <w:t>3</w:t>
      </w:r>
      <w:r>
        <w:rPr>
          <w:rFonts w:asciiTheme="minorEastAsia" w:hAnsiTheme="minorEastAsia"/>
          <w:kern w:val="0"/>
          <w:sz w:val="30"/>
          <w:szCs w:val="30"/>
        </w:rPr>
        <w:t>年度预算安排</w:t>
      </w:r>
      <w:r>
        <w:rPr>
          <w:rFonts w:hint="eastAsia" w:asciiTheme="minorEastAsia" w:hAnsiTheme="minorEastAsia"/>
          <w:kern w:val="0"/>
          <w:sz w:val="30"/>
          <w:szCs w:val="30"/>
        </w:rPr>
        <w:t>水稻、烟叶、小三农、育肥猪能繁母猪保险，渔业互助保险费补贴项目资金320</w:t>
      </w:r>
      <w:r>
        <w:rPr>
          <w:rFonts w:hint="eastAsia" w:asciiTheme="minorEastAsia" w:hAnsiTheme="minorEastAsia"/>
          <w:sz w:val="30"/>
          <w:szCs w:val="30"/>
        </w:rPr>
        <w:t>万元</w:t>
      </w:r>
      <w:r>
        <w:rPr>
          <w:rFonts w:hint="eastAsia" w:asciiTheme="minorEastAsia" w:hAnsiTheme="minorEastAsia"/>
          <w:kern w:val="0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实际到位资金320万元</w:t>
      </w:r>
      <w:r>
        <w:rPr>
          <w:rFonts w:hint="eastAsia" w:asciiTheme="minorEastAsia" w:hAnsiTheme="minorEastAsia"/>
          <w:kern w:val="0"/>
          <w:sz w:val="30"/>
          <w:szCs w:val="30"/>
        </w:rPr>
        <w:t>。</w:t>
      </w:r>
    </w:p>
    <w:p>
      <w:pPr>
        <w:spacing w:line="460" w:lineRule="exact"/>
        <w:ind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一、绩效评价等级“</w:t>
      </w:r>
      <w:r>
        <w:rPr>
          <w:rFonts w:hint="eastAsia" w:asciiTheme="minorEastAsia" w:hAnsiTheme="minorEastAsia"/>
          <w:kern w:val="0"/>
          <w:sz w:val="30"/>
          <w:szCs w:val="30"/>
        </w:rPr>
        <w:t>优</w:t>
      </w:r>
      <w:r>
        <w:rPr>
          <w:rFonts w:asciiTheme="minorEastAsia" w:hAnsiTheme="minorEastAsia"/>
          <w:kern w:val="0"/>
          <w:sz w:val="30"/>
          <w:szCs w:val="30"/>
        </w:rPr>
        <w:t>”</w:t>
      </w:r>
    </w:p>
    <w:p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　　经评价，</w:t>
      </w:r>
      <w:r>
        <w:rPr>
          <w:rFonts w:hint="eastAsia" w:asciiTheme="minorEastAsia" w:hAnsiTheme="minorEastAsia"/>
          <w:sz w:val="30"/>
          <w:szCs w:val="30"/>
        </w:rPr>
        <w:t>漳平市农业农村局</w:t>
      </w:r>
      <w:r>
        <w:rPr>
          <w:rFonts w:hint="eastAsia" w:asciiTheme="minorEastAsia" w:hAnsiTheme="minorEastAsia"/>
          <w:kern w:val="0"/>
          <w:sz w:val="30"/>
          <w:szCs w:val="30"/>
        </w:rPr>
        <w:t>水稻、烟叶、小三农、育肥猪能繁母猪保险，渔业互助保险费补贴项目</w:t>
      </w:r>
      <w:r>
        <w:rPr>
          <w:rFonts w:asciiTheme="minorEastAsia" w:hAnsiTheme="minorEastAsia"/>
          <w:kern w:val="0"/>
          <w:sz w:val="30"/>
          <w:szCs w:val="30"/>
        </w:rPr>
        <w:t>绩效评价得分</w:t>
      </w:r>
      <w:r>
        <w:rPr>
          <w:rFonts w:hint="eastAsia" w:asciiTheme="minorEastAsia" w:hAnsiTheme="minorEastAsia"/>
          <w:kern w:val="0"/>
          <w:sz w:val="30"/>
          <w:szCs w:val="30"/>
        </w:rPr>
        <w:t>92.30</w:t>
      </w:r>
      <w:r>
        <w:rPr>
          <w:rFonts w:asciiTheme="minorEastAsia" w:hAnsiTheme="minorEastAsia"/>
          <w:kern w:val="0"/>
          <w:sz w:val="30"/>
          <w:szCs w:val="30"/>
        </w:rPr>
        <w:t>分，绩效等级为“</w:t>
      </w:r>
      <w:r>
        <w:rPr>
          <w:rFonts w:hint="eastAsia" w:asciiTheme="minorEastAsia" w:hAnsiTheme="minorEastAsia"/>
          <w:kern w:val="0"/>
          <w:sz w:val="30"/>
          <w:szCs w:val="30"/>
        </w:rPr>
        <w:t>优</w:t>
      </w:r>
      <w:r>
        <w:rPr>
          <w:rFonts w:asciiTheme="minorEastAsia" w:hAnsiTheme="minorEastAsia"/>
          <w:kern w:val="0"/>
          <w:sz w:val="30"/>
          <w:szCs w:val="30"/>
        </w:rPr>
        <w:t>”。</w:t>
      </w:r>
    </w:p>
    <w:p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　　二、评价发现的主要问题</w:t>
      </w:r>
    </w:p>
    <w:p>
      <w:pPr>
        <w:widowControl/>
        <w:spacing w:line="500" w:lineRule="exact"/>
        <w:ind w:firstLine="450" w:firstLineChars="15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1. 部分农户对农业保险认知不足。尽管项目组在宣传方面做了大量工作，但仍有部分农户对农业保险的认知不足，对其重要性认识不足，导致参保率未达到预期目标。这主要是由于部分农户的传统观念较重，对新兴事物接受度较低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2. 保险产品设计仍需进一步完善。虽然项目组在保险产品设计方面已经取得了一定的成果，但仍有部分农户反映保险产品不能完全满足他们的需求。这主要是由于不同农户的风险点和保险需求存在差异，需要更加精细化的产品设计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3. 补贴资金筹集和使用面临一定压力。随着农业保险覆盖面的不断扩大和农户参保率的提高，补贴资金的筹集和使用面临一定的压力。一方面，财政资金的有限性使得补贴力度难以持续加大；另一方面，部分地区的农业保险发展不平衡，导致补贴资金的使用效率不高。</w:t>
      </w:r>
    </w:p>
    <w:p>
      <w:pPr>
        <w:spacing w:line="460" w:lineRule="exac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 xml:space="preserve">    </w:t>
      </w:r>
      <w:r>
        <w:rPr>
          <w:rFonts w:asciiTheme="minorEastAsia" w:hAnsiTheme="minorEastAsia"/>
          <w:kern w:val="0"/>
          <w:sz w:val="30"/>
          <w:szCs w:val="30"/>
        </w:rPr>
        <w:t>三、相关建议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1. 加强政策宣传与培训力度。为了进一步提升农户对农业保险的认知度和参保意愿，建议相关部门和保险公司联合开展多样化的政策宣传活动，利用广播、电视、网络等媒体平台进行广泛传播。同时，组织定期的培训会议，邀请专家为农户讲解农业保险的重要性、保险产品的特点以及理赔流程等，帮助农户更好地理解并运用农业保险政策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2. 优化保险产品设计。针对当前保险产品可能存在的不足，建议保险公司与农业部门加强沟通合作，深入了解农户的实际需求和风险点，根据地方特色和产业发展趋势，开发更加符合农户需求的保险产品。同时，应关注新兴农业领域和技术的发展，及时将新的风险点纳入保险保障范围，为农户提供更加全面的风险保障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3. 完善资金补贴与监管机制。为确保补贴资金的及时到位和有效使用，建议进一步完善资金补贴机制，明确补贴标准和程序，加强资金使用的监管和审计。同时，可以考虑引入市场竞争机制，鼓励更多的保险公司参与农业保险业务，提高保险市场的竞争性和活力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4. 强化理赔服务与质量。理赔服务是农业保险的重要组成部分，直接影响农户对保险服务的满意度。因此，建议保险公司加强理赔服务的规范化建设，提高理赔效率和质量。可以建立快速响应机制，简化理赔流程，缩短理赔周期，确保农户在遭受损失时能够及时得到帮助。</w:t>
      </w:r>
    </w:p>
    <w:p>
      <w:pPr>
        <w:widowControl/>
        <w:spacing w:line="500" w:lineRule="exact"/>
        <w:ind w:firstLine="600" w:firstLineChars="200"/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5. 建立风险预警与防范机制。为有效应对农业生产中可能出现的风险，建议相关部门和保险公司共同建立风险预警与防范机制。通过收集和分析农业生产数据，及时发现潜在风险点，并采取相应的预防措施。同时，可以开展风险教育和培训活动，提高农户的风险意识和防范能力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105"/>
    <w:rsid w:val="000076B3"/>
    <w:rsid w:val="00036ECA"/>
    <w:rsid w:val="000D242A"/>
    <w:rsid w:val="0018145D"/>
    <w:rsid w:val="001E5105"/>
    <w:rsid w:val="001E5CAA"/>
    <w:rsid w:val="00203780"/>
    <w:rsid w:val="00234A53"/>
    <w:rsid w:val="00310FD9"/>
    <w:rsid w:val="003F269A"/>
    <w:rsid w:val="004140E4"/>
    <w:rsid w:val="004A145A"/>
    <w:rsid w:val="004C3652"/>
    <w:rsid w:val="004D145B"/>
    <w:rsid w:val="004F312F"/>
    <w:rsid w:val="00512C16"/>
    <w:rsid w:val="0051693B"/>
    <w:rsid w:val="005661E5"/>
    <w:rsid w:val="006E1220"/>
    <w:rsid w:val="007071EA"/>
    <w:rsid w:val="00741484"/>
    <w:rsid w:val="00744F5D"/>
    <w:rsid w:val="0079081C"/>
    <w:rsid w:val="007F6D6F"/>
    <w:rsid w:val="008472C9"/>
    <w:rsid w:val="008657E7"/>
    <w:rsid w:val="008D691A"/>
    <w:rsid w:val="008E1B78"/>
    <w:rsid w:val="009E23BE"/>
    <w:rsid w:val="00A5364E"/>
    <w:rsid w:val="00A8023B"/>
    <w:rsid w:val="00AD24CF"/>
    <w:rsid w:val="00B044C9"/>
    <w:rsid w:val="00B6654D"/>
    <w:rsid w:val="00B96B5A"/>
    <w:rsid w:val="00BE32D3"/>
    <w:rsid w:val="00BF6D14"/>
    <w:rsid w:val="00C525A2"/>
    <w:rsid w:val="00C872FD"/>
    <w:rsid w:val="00CD6568"/>
    <w:rsid w:val="00CE658C"/>
    <w:rsid w:val="00D57A4D"/>
    <w:rsid w:val="00D838F7"/>
    <w:rsid w:val="00E66C4E"/>
    <w:rsid w:val="00EC2B84"/>
    <w:rsid w:val="00F24349"/>
    <w:rsid w:val="099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 w:eastAsia="仿宋_GB2312" w:cs="Times New Roman"/>
      <w:sz w:val="30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标题 1 Char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NYDN</Company>
  <Pages>3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2022-09-15T00:53:00Z</dcterms:created>
  <dc:creator>DIY</dc:creator>
  <cp:lastModifiedBy>Administrator</cp:lastModifiedBy>
  <dcterms:modified xsi:type="dcterms:W3CDTF">2024-07-04T07:22:44Z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