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rPr>
          <w:rFonts w:ascii="黑体" w:hAnsi="黑体" w:eastAsia="黑体" w:cs="宋体"/>
          <w:color w:val="065FA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65FA3"/>
          <w:kern w:val="0"/>
          <w:sz w:val="32"/>
          <w:szCs w:val="32"/>
        </w:rPr>
        <w:t>漳平市农业农村局（乡村振兴局）2022年度省级乡村振兴</w:t>
      </w:r>
    </w:p>
    <w:p>
      <w:pPr>
        <w:widowControl/>
        <w:spacing w:line="450" w:lineRule="atLeast"/>
        <w:jc w:val="center"/>
        <w:rPr>
          <w:rFonts w:ascii="黑体" w:hAnsi="黑体" w:eastAsia="黑体" w:cs="宋体"/>
          <w:color w:val="065FA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65FA3"/>
          <w:kern w:val="0"/>
          <w:sz w:val="32"/>
          <w:szCs w:val="32"/>
        </w:rPr>
        <w:t>示范村补助县级配套项目绩效评价</w:t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/>
          <w:kern w:val="0"/>
        </w:rPr>
        <w:t xml:space="preserve"> </w:t>
      </w:r>
      <w:r>
        <w:rPr>
          <w:rFonts w:hint="eastAsia" w:asciiTheme="minorEastAsia" w:hAnsiTheme="minorEastAsia"/>
          <w:kern w:val="0"/>
          <w:sz w:val="30"/>
          <w:szCs w:val="30"/>
        </w:rPr>
        <w:t xml:space="preserve">    </w:t>
      </w:r>
      <w:r>
        <w:rPr>
          <w:rFonts w:asciiTheme="minorEastAsia" w:hAnsiTheme="minorEastAsia"/>
          <w:kern w:val="0"/>
          <w:sz w:val="30"/>
          <w:szCs w:val="30"/>
        </w:rPr>
        <w:t>202</w:t>
      </w:r>
      <w:r>
        <w:rPr>
          <w:rFonts w:hint="eastAsia" w:asciiTheme="minorEastAsia" w:hAnsiTheme="minorEastAsia"/>
          <w:kern w:val="0"/>
          <w:sz w:val="30"/>
          <w:szCs w:val="30"/>
        </w:rPr>
        <w:t>2</w:t>
      </w:r>
      <w:r>
        <w:rPr>
          <w:rFonts w:asciiTheme="minorEastAsia" w:hAnsiTheme="minorEastAsia"/>
          <w:kern w:val="0"/>
          <w:sz w:val="30"/>
          <w:szCs w:val="30"/>
        </w:rPr>
        <w:t>年度预算安排</w:t>
      </w:r>
      <w:r>
        <w:rPr>
          <w:rFonts w:hint="eastAsia" w:asciiTheme="minorEastAsia" w:hAnsiTheme="minorEastAsia"/>
          <w:sz w:val="30"/>
          <w:szCs w:val="30"/>
        </w:rPr>
        <w:t>省级试点示范资金合计2</w:t>
      </w:r>
      <w:r>
        <w:rPr>
          <w:rFonts w:asciiTheme="minorEastAsia" w:hAnsiTheme="minorEastAsia"/>
          <w:sz w:val="30"/>
          <w:szCs w:val="30"/>
        </w:rPr>
        <w:t>,</w:t>
      </w:r>
      <w:r>
        <w:rPr>
          <w:rFonts w:hint="eastAsia" w:asciiTheme="minorEastAsia" w:hAnsiTheme="minorEastAsia"/>
          <w:sz w:val="30"/>
          <w:szCs w:val="30"/>
        </w:rPr>
        <w:t>4</w:t>
      </w:r>
      <w:r>
        <w:rPr>
          <w:rFonts w:asciiTheme="minorEastAsia" w:hAnsiTheme="minorEastAsia"/>
          <w:sz w:val="30"/>
          <w:szCs w:val="30"/>
        </w:rPr>
        <w:t>91.71</w:t>
      </w:r>
      <w:r>
        <w:rPr>
          <w:rFonts w:hint="eastAsia" w:asciiTheme="minorEastAsia" w:hAnsiTheme="minorEastAsia"/>
          <w:sz w:val="30"/>
          <w:szCs w:val="30"/>
        </w:rPr>
        <w:t>万元(其中，省级部门整合资金1</w:t>
      </w:r>
      <w:r>
        <w:rPr>
          <w:rFonts w:asciiTheme="minorEastAsia" w:hAnsiTheme="minorEastAsia"/>
          <w:sz w:val="30"/>
          <w:szCs w:val="30"/>
        </w:rPr>
        <w:t>,230.41</w:t>
      </w:r>
      <w:r>
        <w:rPr>
          <w:rFonts w:hint="eastAsia" w:asciiTheme="minorEastAsia" w:hAnsiTheme="minorEastAsia"/>
          <w:sz w:val="30"/>
          <w:szCs w:val="30"/>
        </w:rPr>
        <w:t>万元、省</w:t>
      </w:r>
      <w:r>
        <w:rPr>
          <w:rFonts w:hint="eastAsia" w:asciiTheme="minorEastAsia" w:hAnsiTheme="minorEastAsia"/>
          <w:sz w:val="30"/>
          <w:szCs w:val="30"/>
          <w:lang w:eastAsia="zh-CN"/>
        </w:rPr>
        <w:t>级</w:t>
      </w:r>
      <w:r>
        <w:rPr>
          <w:rFonts w:hint="eastAsia" w:asciiTheme="minorEastAsia" w:hAnsiTheme="minorEastAsia"/>
          <w:sz w:val="30"/>
          <w:szCs w:val="30"/>
        </w:rPr>
        <w:t>财政预算安排资金400万元、龙岩市资金3</w:t>
      </w:r>
      <w:r>
        <w:rPr>
          <w:rFonts w:asciiTheme="minorEastAsia" w:hAnsiTheme="minorEastAsia"/>
          <w:sz w:val="30"/>
          <w:szCs w:val="30"/>
        </w:rPr>
        <w:t>30</w:t>
      </w:r>
      <w:r>
        <w:rPr>
          <w:rFonts w:hint="eastAsia" w:asciiTheme="minorEastAsia" w:hAnsiTheme="minorEastAsia"/>
          <w:sz w:val="30"/>
          <w:szCs w:val="30"/>
        </w:rPr>
        <w:t>万元、漳平资金5</w:t>
      </w:r>
      <w:r>
        <w:rPr>
          <w:rFonts w:asciiTheme="minorEastAsia" w:hAnsiTheme="minorEastAsia"/>
          <w:sz w:val="30"/>
          <w:szCs w:val="30"/>
        </w:rPr>
        <w:t>31.30</w:t>
      </w:r>
      <w:r>
        <w:rPr>
          <w:rFonts w:hint="eastAsia" w:asciiTheme="minorEastAsia" w:hAnsiTheme="minorEastAsia"/>
          <w:sz w:val="30"/>
          <w:szCs w:val="30"/>
        </w:rPr>
        <w:t>万元),</w:t>
      </w:r>
      <w:r>
        <w:rPr>
          <w:rFonts w:asciiTheme="minorEastAsia" w:hAnsiTheme="minorEastAsia"/>
          <w:kern w:val="0"/>
          <w:sz w:val="30"/>
          <w:szCs w:val="30"/>
        </w:rPr>
        <w:t>实际执行数</w:t>
      </w:r>
      <w:r>
        <w:rPr>
          <w:rFonts w:hint="eastAsia" w:asciiTheme="minorEastAsia" w:hAnsiTheme="minorEastAsia"/>
          <w:sz w:val="30"/>
          <w:szCs w:val="30"/>
        </w:rPr>
        <w:t>2</w:t>
      </w:r>
      <w:r>
        <w:rPr>
          <w:rFonts w:asciiTheme="minorEastAsia" w:hAnsiTheme="minorEastAsia"/>
          <w:sz w:val="30"/>
          <w:szCs w:val="30"/>
        </w:rPr>
        <w:t>,</w:t>
      </w:r>
      <w:r>
        <w:rPr>
          <w:rFonts w:hint="eastAsia" w:asciiTheme="minorEastAsia" w:hAnsiTheme="minorEastAsia"/>
          <w:sz w:val="30"/>
          <w:szCs w:val="30"/>
        </w:rPr>
        <w:t>4</w:t>
      </w:r>
      <w:r>
        <w:rPr>
          <w:rFonts w:asciiTheme="minorEastAsia" w:hAnsiTheme="minorEastAsia"/>
          <w:sz w:val="30"/>
          <w:szCs w:val="30"/>
        </w:rPr>
        <w:t>91.71</w:t>
      </w:r>
      <w:r>
        <w:rPr>
          <w:rFonts w:asciiTheme="minorEastAsia" w:hAnsiTheme="minorEastAsia"/>
          <w:kern w:val="0"/>
          <w:sz w:val="30"/>
          <w:szCs w:val="30"/>
        </w:rPr>
        <w:t>万元</w:t>
      </w:r>
      <w:r>
        <w:rPr>
          <w:rFonts w:hint="eastAsia" w:asciiTheme="minorEastAsia" w:hAnsiTheme="minorEastAsia"/>
          <w:sz w:val="30"/>
          <w:szCs w:val="30"/>
        </w:rPr>
        <w:t>。</w:t>
      </w:r>
    </w:p>
    <w:p>
      <w:pPr>
        <w:rPr>
          <w:rFonts w:asciiTheme="minorEastAsia" w:hAnsiTheme="minorEastAsia"/>
          <w:kern w:val="0"/>
          <w:sz w:val="30"/>
          <w:szCs w:val="30"/>
        </w:rPr>
      </w:pPr>
      <w:r>
        <w:rPr>
          <w:rFonts w:asciiTheme="minorEastAsia" w:hAnsiTheme="minorEastAsia"/>
          <w:kern w:val="0"/>
          <w:sz w:val="30"/>
          <w:szCs w:val="30"/>
        </w:rPr>
        <w:t>　　一、绩效评价等级“优”</w:t>
      </w:r>
    </w:p>
    <w:p>
      <w:pPr>
        <w:rPr>
          <w:rFonts w:asciiTheme="minorEastAsia" w:hAnsiTheme="minorEastAsia"/>
          <w:kern w:val="0"/>
          <w:sz w:val="30"/>
          <w:szCs w:val="30"/>
        </w:rPr>
      </w:pPr>
      <w:r>
        <w:rPr>
          <w:rFonts w:asciiTheme="minorEastAsia" w:hAnsiTheme="minorEastAsia"/>
          <w:kern w:val="0"/>
          <w:sz w:val="30"/>
          <w:szCs w:val="30"/>
        </w:rPr>
        <w:t>　　经评价，</w:t>
      </w:r>
      <w:r>
        <w:rPr>
          <w:rFonts w:hint="eastAsia" w:asciiTheme="minorEastAsia" w:hAnsiTheme="minorEastAsia"/>
          <w:kern w:val="0"/>
          <w:sz w:val="30"/>
          <w:szCs w:val="30"/>
        </w:rPr>
        <w:t>农业农村局(乡村振兴局)2022年度省级乡村振兴示范村补助县级配套项目</w:t>
      </w:r>
      <w:r>
        <w:rPr>
          <w:rFonts w:asciiTheme="minorEastAsia" w:hAnsiTheme="minorEastAsia"/>
          <w:kern w:val="0"/>
          <w:sz w:val="30"/>
          <w:szCs w:val="30"/>
        </w:rPr>
        <w:t>绩效评价得分9</w:t>
      </w:r>
      <w:r>
        <w:rPr>
          <w:rFonts w:hint="eastAsia" w:asciiTheme="minorEastAsia" w:hAnsiTheme="minorEastAsia"/>
          <w:kern w:val="0"/>
          <w:sz w:val="30"/>
          <w:szCs w:val="30"/>
        </w:rPr>
        <w:t>1.38</w:t>
      </w:r>
      <w:r>
        <w:rPr>
          <w:rFonts w:asciiTheme="minorEastAsia" w:hAnsiTheme="minorEastAsia"/>
          <w:kern w:val="0"/>
          <w:sz w:val="30"/>
          <w:szCs w:val="30"/>
        </w:rPr>
        <w:t>分，绩效等级为“优”。</w:t>
      </w:r>
    </w:p>
    <w:p>
      <w:pPr>
        <w:rPr>
          <w:rFonts w:asciiTheme="minorEastAsia" w:hAnsiTheme="minorEastAsia"/>
          <w:kern w:val="0"/>
          <w:sz w:val="30"/>
          <w:szCs w:val="30"/>
        </w:rPr>
      </w:pPr>
      <w:r>
        <w:rPr>
          <w:rFonts w:hint="eastAsia" w:asciiTheme="minorEastAsia" w:hAnsiTheme="minorEastAsia"/>
          <w:kern w:val="0"/>
          <w:sz w:val="30"/>
          <w:szCs w:val="30"/>
        </w:rPr>
        <w:t xml:space="preserve">    </w:t>
      </w:r>
      <w:r>
        <w:rPr>
          <w:rFonts w:asciiTheme="minorEastAsia" w:hAnsiTheme="minorEastAsia"/>
          <w:kern w:val="0"/>
          <w:sz w:val="30"/>
          <w:szCs w:val="30"/>
        </w:rPr>
        <w:t>二、评价发现的主要问题</w:t>
      </w:r>
    </w:p>
    <w:p>
      <w:pPr>
        <w:rPr>
          <w:rFonts w:asciiTheme="minorEastAsia" w:hAnsiTheme="minorEastAsia"/>
          <w:kern w:val="0"/>
          <w:sz w:val="30"/>
          <w:szCs w:val="30"/>
        </w:rPr>
      </w:pPr>
      <w:r>
        <w:rPr>
          <w:rFonts w:hint="eastAsia" w:asciiTheme="minorEastAsia" w:hAnsiTheme="minorEastAsia"/>
          <w:kern w:val="0"/>
          <w:sz w:val="30"/>
          <w:szCs w:val="30"/>
        </w:rPr>
        <w:t xml:space="preserve">    </w:t>
      </w:r>
      <w:r>
        <w:rPr>
          <w:rFonts w:asciiTheme="minorEastAsia" w:hAnsiTheme="minorEastAsia"/>
          <w:kern w:val="0"/>
          <w:sz w:val="30"/>
          <w:szCs w:val="30"/>
        </w:rPr>
        <w:t>1</w:t>
      </w:r>
      <w:r>
        <w:rPr>
          <w:rFonts w:hint="eastAsia" w:asciiTheme="minorEastAsia" w:hAnsiTheme="minorEastAsia"/>
          <w:kern w:val="0"/>
          <w:sz w:val="30"/>
          <w:szCs w:val="30"/>
        </w:rPr>
        <w:t>．项目可研论证不够严谨，项目进度缓慢，项目执行力需提升</w:t>
      </w:r>
      <w:r>
        <w:rPr>
          <w:rFonts w:hint="eastAsia" w:asciiTheme="minorEastAsia" w:hAnsiTheme="minorEastAsia"/>
          <w:kern w:val="0"/>
          <w:sz w:val="30"/>
          <w:szCs w:val="30"/>
          <w:lang w:eastAsia="zh-CN"/>
        </w:rPr>
        <w:t>，</w:t>
      </w:r>
      <w:r>
        <w:rPr>
          <w:rFonts w:hint="eastAsia" w:asciiTheme="minorEastAsia" w:hAnsiTheme="minorEastAsia"/>
          <w:kern w:val="0"/>
          <w:sz w:val="30"/>
          <w:szCs w:val="30"/>
        </w:rPr>
        <w:t>部分试点村年初谋划安排2</w:t>
      </w:r>
      <w:r>
        <w:rPr>
          <w:rFonts w:asciiTheme="minorEastAsia" w:hAnsiTheme="minorEastAsia"/>
          <w:kern w:val="0"/>
          <w:sz w:val="30"/>
          <w:szCs w:val="30"/>
        </w:rPr>
        <w:t>02</w:t>
      </w:r>
      <w:r>
        <w:rPr>
          <w:rFonts w:hint="eastAsia" w:asciiTheme="minorEastAsia" w:hAnsiTheme="minorEastAsia"/>
          <w:kern w:val="0"/>
          <w:sz w:val="30"/>
          <w:szCs w:val="30"/>
        </w:rPr>
        <w:t>2年项目时，前期未进行可研论证，项目策划不够严谨，项目安排不够精准，导致项目无法实施。</w:t>
      </w:r>
    </w:p>
    <w:p>
      <w:pPr>
        <w:ind w:firstLine="600" w:firstLineChars="200"/>
        <w:rPr>
          <w:rFonts w:asciiTheme="minorEastAsia" w:hAnsiTheme="minorEastAsia"/>
          <w:kern w:val="0"/>
          <w:sz w:val="30"/>
          <w:szCs w:val="30"/>
        </w:rPr>
      </w:pPr>
      <w:r>
        <w:rPr>
          <w:rFonts w:asciiTheme="minorEastAsia" w:hAnsiTheme="minorEastAsia"/>
          <w:kern w:val="0"/>
          <w:sz w:val="30"/>
          <w:szCs w:val="30"/>
        </w:rPr>
        <w:t>2</w:t>
      </w:r>
      <w:r>
        <w:rPr>
          <w:rFonts w:hint="eastAsia" w:asciiTheme="minorEastAsia" w:hAnsiTheme="minorEastAsia"/>
          <w:kern w:val="0"/>
          <w:sz w:val="30"/>
          <w:szCs w:val="30"/>
        </w:rPr>
        <w:t>．长效管护和运维机制不健全，制度建立需强化。项目管理办法中规定，乡镇（街道）要建立健全项目运行管护制度，落实管护责任，保证项目竣工验收后正常运转。经抽样检查15个项目的相关档案资料，仅有12个有制定管护制度，3个项目未制定相关后续管护制度，后续缺乏管理维护，缺少可持续产业支撑，容易造成项目建成后“晒太阳”、利用率不高等问题。乡村振兴资金主要依赖财政资金投入，资金筹措渠道有待拓宽，发挥社会资本、金额资本作用不足。</w:t>
      </w:r>
    </w:p>
    <w:p>
      <w:pPr>
        <w:rPr>
          <w:rFonts w:asciiTheme="minorEastAsia" w:hAnsiTheme="minorEastAsia"/>
          <w:kern w:val="0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</w:t>
      </w:r>
      <w:r>
        <w:rPr>
          <w:rFonts w:asciiTheme="minorEastAsia" w:hAnsiTheme="minorEastAsia"/>
          <w:kern w:val="0"/>
          <w:sz w:val="30"/>
          <w:szCs w:val="30"/>
        </w:rPr>
        <w:t>三、相关建议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（一）提高对绩效管理工作的认识。提高政治站位，强化绩效意识，将绩效管理的理念贯穿到预算管理全过程，形成事前</w:t>
      </w:r>
      <w:r>
        <w:rPr>
          <w:rFonts w:hint="eastAsia" w:asciiTheme="minorEastAsia" w:hAnsi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/>
          <w:sz w:val="30"/>
          <w:szCs w:val="30"/>
        </w:rPr>
        <w:t>事中</w:t>
      </w:r>
      <w:r>
        <w:rPr>
          <w:rFonts w:hint="eastAsia" w:asciiTheme="minorEastAsia" w:hAnsi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/>
          <w:sz w:val="30"/>
          <w:szCs w:val="30"/>
        </w:rPr>
        <w:t>事后的闭环管理系统，推动绩效管理和预算执行实行“双监控”，同时要转变“重资金，轻绩效”的理念，从消极被动的不想管，不愿管转变为积极主动的管得了，管得好的绩效责任意识。让利益相关方了解到预算绩效管理是一个全员参与，全预算覆盖，全过程的工作，从根本认识到绩效管理的重要性。</w:t>
      </w:r>
    </w:p>
    <w:p>
      <w:pPr>
        <w:ind w:firstLine="435" w:firstLineChars="15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pacing w:val="-5"/>
          <w:sz w:val="30"/>
          <w:szCs w:val="30"/>
        </w:rPr>
        <w:t>（二）</w:t>
      </w:r>
      <w:r>
        <w:rPr>
          <w:rFonts w:hint="eastAsia" w:asciiTheme="minorEastAsia" w:hAnsiTheme="minorEastAsia"/>
          <w:sz w:val="30"/>
          <w:szCs w:val="30"/>
        </w:rPr>
        <w:t>加强绩效管理监管力度，利用大数据和云平台实时监控。出台相关的绩效自评管理办法，规范自评填报流程，建立自评抽查和不合格通报机制，将抽查结果和自评质量作为部门预算安排的重要参考依据，从源头提高绩效管理的科学性。同时要加强对预算绩效的动态监管，建立动态跟踪机制，利用大数据和云平台实时监控项目开展情况，实现常态化的数据</w:t>
      </w:r>
      <w:r>
        <w:rPr>
          <w:rFonts w:hint="eastAsia" w:asciiTheme="minorEastAsia" w:hAnsiTheme="minorEastAsia"/>
          <w:sz w:val="30"/>
          <w:szCs w:val="30"/>
          <w:lang w:eastAsia="zh-CN"/>
        </w:rPr>
        <w:t>异常预警</w:t>
      </w:r>
      <w:r>
        <w:rPr>
          <w:rFonts w:hint="eastAsia" w:asciiTheme="minorEastAsia" w:hAnsiTheme="minorEastAsia"/>
          <w:sz w:val="30"/>
          <w:szCs w:val="30"/>
        </w:rPr>
        <w:t>机制，尽早发现倾向性</w:t>
      </w:r>
      <w:r>
        <w:rPr>
          <w:rFonts w:hint="eastAsia" w:asciiTheme="minorEastAsia" w:hAnsi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/>
          <w:sz w:val="30"/>
          <w:szCs w:val="30"/>
        </w:rPr>
        <w:t>苗头性</w:t>
      </w:r>
      <w:r>
        <w:rPr>
          <w:rFonts w:hint="eastAsia" w:asciiTheme="minorEastAsia" w:hAnsi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/>
          <w:sz w:val="30"/>
          <w:szCs w:val="30"/>
        </w:rPr>
        <w:t>潜在性的问题，为预算支出提供全天候保驾护航。</w:t>
      </w:r>
    </w:p>
    <w:p>
      <w:pPr>
        <w:ind w:firstLine="450" w:firstLineChars="15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（三）建立健全绩效结果共享机</w:t>
      </w:r>
      <w:bookmarkStart w:id="0" w:name="_GoBack"/>
      <w:bookmarkEnd w:id="0"/>
      <w:r>
        <w:rPr>
          <w:rFonts w:hint="eastAsia" w:asciiTheme="minorEastAsia" w:hAnsiTheme="minorEastAsia"/>
          <w:sz w:val="30"/>
          <w:szCs w:val="30"/>
        </w:rPr>
        <w:t>制，引导公众参与。一是要建立健全绩效信息系统，利用部门官方网站、政府门户网站、微信公众号等平台设置绩效评价信息专栏，主动、及时公开重大项目和政策相关的预算绩效信息，引导公众参与绩效管理，充分发挥群众监督和舆论监督作用，提升预算绩效公信力，促进政务信息公开。二是搭建数字化绩效评价智能系统，利用大数据自动进行数据采集、分类和系统分析，如利用聚类挖掘、分类挖掘等技术和关联分析、综合分析等方式对数据进行个性化筛选，为高效、科学的绩效管理提供决策依据。同时可利用大数据破除数据壁垒，联动部门信息，扩大信息共享范围。</w:t>
      </w:r>
    </w:p>
    <w:p>
      <w:pPr>
        <w:ind w:firstLine="450" w:firstLineChars="15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四）加强对相关人员的素质培养，注重人才队伍的培养，激发绩效管理活力。一是提高从事绩效管理工作的准入门槛。完善绩效管理的人才储备制度，引入高质量人才参与到绩效管理工作中，优化人才培养机制，有针对性地安排一些预算绩效管理方面培养计划，通过视频培训，学术交流自学网课等方式，提高相关人员的业务水平</w:t>
      </w:r>
      <w:r>
        <w:rPr>
          <w:rFonts w:hint="eastAsia" w:asciiTheme="minorEastAsia" w:hAnsiTheme="minorEastAsia"/>
          <w:sz w:val="30"/>
          <w:szCs w:val="30"/>
          <w:lang w:eastAsia="zh-CN"/>
        </w:rPr>
        <w:t>。</w:t>
      </w:r>
      <w:r>
        <w:rPr>
          <w:rFonts w:hint="eastAsia" w:asciiTheme="minorEastAsia" w:hAnsiTheme="minorEastAsia"/>
          <w:sz w:val="30"/>
          <w:szCs w:val="30"/>
        </w:rPr>
        <w:t>二是强化业务与财务的深度融合，加强部门内部之间的协调合作，促进业务能手和财务人员之间的沟通交流，达到互相协同，共融共进的效果。</w:t>
      </w:r>
    </w:p>
    <w:p>
      <w:pPr>
        <w:ind w:firstLine="450" w:firstLineChars="15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五）落实巩固脱贫成果同乡村振兴有效衔接。统筹开展乡村振兴战略实绩考核、巩固拓展脱贫攻坚成果同乡村振兴有效衔接考核评估。增强发展动力，推动乡村产业高质量发展。按照“土特产”三个字要求，依托农业农村特色资源，开发农业多种功能，挖掘乡村多元价值，完善联农带农利益联结机制，把增值收益更多留给农民。因地制宜培育特色优势主导产业，乡村振兴补助资金用于产业发展的比重加大，补上短板要全面，含技术、设施、营销等。</w:t>
      </w:r>
    </w:p>
    <w:p>
      <w:pPr>
        <w:ind w:firstLine="450" w:firstLineChars="15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(六)强化党建引领，提升乡村治理。围绕逐步使农村基本具备现代生活条件这个目标，就必须扎实推进乡村硬件建设和软件建设，推动乡村由表及里、形神兼备的全面提升，让农民就地能够过上现代文明生活，就需要健全党组织领导的乡村治理体系，用好传统治理资源和现代治理手段，提升乡村治理效能；创新农村精神文明建设的抓手、平台和载体，大力弘扬和践行社会主义核心价值观，深入推进农村移风易俗，塑造乡村文明新风尚。</w:t>
      </w:r>
    </w:p>
    <w:p>
      <w:pPr>
        <w:spacing w:line="460" w:lineRule="exact"/>
        <w:rPr>
          <w:rFonts w:asciiTheme="minorEastAsia" w:hAnsi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105"/>
    <w:rsid w:val="0000768B"/>
    <w:rsid w:val="00080227"/>
    <w:rsid w:val="00081EE3"/>
    <w:rsid w:val="000907D9"/>
    <w:rsid w:val="0018145D"/>
    <w:rsid w:val="001D2A17"/>
    <w:rsid w:val="001D2D45"/>
    <w:rsid w:val="001E45C9"/>
    <w:rsid w:val="001E5105"/>
    <w:rsid w:val="00230442"/>
    <w:rsid w:val="00307953"/>
    <w:rsid w:val="00485A0C"/>
    <w:rsid w:val="00491EB4"/>
    <w:rsid w:val="004B3015"/>
    <w:rsid w:val="004D145B"/>
    <w:rsid w:val="004F0655"/>
    <w:rsid w:val="00565C40"/>
    <w:rsid w:val="005855AA"/>
    <w:rsid w:val="005A3772"/>
    <w:rsid w:val="005B2691"/>
    <w:rsid w:val="006068D3"/>
    <w:rsid w:val="006226C8"/>
    <w:rsid w:val="00686E0E"/>
    <w:rsid w:val="0077103C"/>
    <w:rsid w:val="00775D49"/>
    <w:rsid w:val="007D00EA"/>
    <w:rsid w:val="008414B7"/>
    <w:rsid w:val="008661D5"/>
    <w:rsid w:val="0088337A"/>
    <w:rsid w:val="009743E2"/>
    <w:rsid w:val="009A259B"/>
    <w:rsid w:val="009F31BA"/>
    <w:rsid w:val="00A21982"/>
    <w:rsid w:val="00A44826"/>
    <w:rsid w:val="00B12EFE"/>
    <w:rsid w:val="00B143EA"/>
    <w:rsid w:val="00B51BA5"/>
    <w:rsid w:val="00BC531B"/>
    <w:rsid w:val="00BE547D"/>
    <w:rsid w:val="00BF6D14"/>
    <w:rsid w:val="00C71109"/>
    <w:rsid w:val="00E52C0D"/>
    <w:rsid w:val="00E95DDF"/>
    <w:rsid w:val="00EA0B94"/>
    <w:rsid w:val="00EC2B84"/>
    <w:rsid w:val="00ED570F"/>
    <w:rsid w:val="00ED6CAB"/>
    <w:rsid w:val="00F0436B"/>
    <w:rsid w:val="00F71C32"/>
    <w:rsid w:val="00FD67F1"/>
    <w:rsid w:val="493B6D66"/>
    <w:rsid w:val="7FBC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39"/>
    <w:rPr>
      <w:rFonts w:ascii="Times New Roman" w:hAnsi="Times New Roman" w:eastAsia="仿宋_GB2312" w:cs="Times New Roman"/>
      <w:sz w:val="30"/>
      <w:szCs w:val="24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NYDN</Company>
  <Pages>4</Pages>
  <Words>273</Words>
  <Characters>1560</Characters>
  <Lines>13</Lines>
  <Paragraphs>3</Paragraphs>
  <ScaleCrop>false</ScaleCrop>
  <LinksUpToDate>false</LinksUpToDate>
  <CharactersWithSpaces>1830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2022-09-15T00:53:00Z</dcterms:created>
  <dc:creator>DIY</dc:creator>
  <cp:lastModifiedBy>Administrator</cp:lastModifiedBy>
  <dcterms:modified xsi:type="dcterms:W3CDTF">2023-07-17T00:04:42Z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