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ind w:firstLine="1298" w:firstLineChars="295"/>
        <w:rPr>
          <w:rFonts w:asciiTheme="majorEastAsia" w:hAnsiTheme="majorEastAsia" w:eastAsiaTheme="majorEastAsia"/>
          <w:sz w:val="44"/>
          <w:szCs w:val="44"/>
        </w:rPr>
      </w:pPr>
      <w:r>
        <w:rPr>
          <w:rFonts w:hint="eastAsia" w:asciiTheme="majorEastAsia" w:hAnsiTheme="majorEastAsia" w:eastAsiaTheme="majorEastAsia"/>
          <w:sz w:val="44"/>
          <w:szCs w:val="44"/>
        </w:rPr>
        <w:t>2022年度漳平市本级政府决算</w:t>
      </w:r>
    </w:p>
    <w:p>
      <w:pPr>
        <w:pStyle w:val="9"/>
        <w:spacing w:beforeLines="50" w:afterLines="50"/>
        <w:ind w:left="1680" w:firstLine="0" w:firstLineChars="0"/>
        <w:rPr>
          <w:rFonts w:asciiTheme="majorEastAsia" w:hAnsiTheme="majorEastAsia" w:eastAsiaTheme="majorEastAsia"/>
          <w:sz w:val="44"/>
          <w:szCs w:val="44"/>
        </w:rPr>
      </w:pPr>
      <w:r>
        <w:rPr>
          <w:rFonts w:hint="eastAsia" w:asciiTheme="majorEastAsia" w:hAnsiTheme="majorEastAsia" w:eastAsiaTheme="majorEastAsia"/>
          <w:sz w:val="44"/>
          <w:szCs w:val="44"/>
        </w:rPr>
        <w:t xml:space="preserve">  相关重要事项说明</w:t>
      </w:r>
    </w:p>
    <w:p>
      <w:pPr>
        <w:spacing w:beforeLines="50" w:afterLines="50" w:line="140" w:lineRule="atLeast"/>
        <w:jc w:val="center"/>
        <w:rPr>
          <w:rFonts w:asciiTheme="majorEastAsia" w:hAnsiTheme="majorEastAsia" w:eastAsiaTheme="majorEastAsia"/>
          <w:sz w:val="44"/>
          <w:szCs w:val="44"/>
        </w:rPr>
      </w:pPr>
    </w:p>
    <w:p>
      <w:pPr>
        <w:spacing w:line="360" w:lineRule="auto"/>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w:t>
      </w:r>
      <w:r>
        <w:rPr>
          <w:rFonts w:hint="eastAsia" w:cs="Arial" w:asciiTheme="majorEastAsia" w:hAnsiTheme="majorEastAsia" w:eastAsiaTheme="majorEastAsia"/>
          <w:b/>
          <w:kern w:val="0"/>
          <w:sz w:val="32"/>
          <w:szCs w:val="32"/>
        </w:rPr>
        <w:t>市本级支出决算说明</w:t>
      </w:r>
    </w:p>
    <w:p>
      <w:pPr>
        <w:spacing w:line="360" w:lineRule="auto"/>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cs="Arial"/>
          <w:kern w:val="0"/>
          <w:sz w:val="32"/>
          <w:szCs w:val="32"/>
        </w:rPr>
        <w:t>2022年度漳平市本级</w:t>
      </w:r>
      <w:r>
        <w:rPr>
          <w:rFonts w:hint="eastAsia" w:ascii="仿宋" w:hAnsi="仿宋" w:eastAsia="仿宋"/>
          <w:sz w:val="32"/>
          <w:szCs w:val="32"/>
        </w:rPr>
        <w:t>一般公共预算支出</w:t>
      </w:r>
      <w:r>
        <w:rPr>
          <w:rFonts w:hint="eastAsia" w:ascii="仿宋" w:hAnsi="仿宋" w:eastAsia="仿宋"/>
          <w:b/>
          <w:bCs/>
          <w:sz w:val="32"/>
          <w:szCs w:val="32"/>
        </w:rPr>
        <w:t>245445</w:t>
      </w:r>
      <w:r>
        <w:rPr>
          <w:rFonts w:hint="eastAsia" w:ascii="仿宋" w:hAnsi="仿宋" w:eastAsia="仿宋"/>
          <w:sz w:val="32"/>
          <w:szCs w:val="32"/>
        </w:rPr>
        <w:t>万元，较上年</w:t>
      </w:r>
      <w:r>
        <w:rPr>
          <w:rFonts w:hint="eastAsia" w:ascii="仿宋" w:hAnsi="仿宋" w:eastAsia="仿宋"/>
          <w:sz w:val="32"/>
          <w:szCs w:val="32"/>
          <w:lang w:eastAsia="zh-CN"/>
        </w:rPr>
        <w:t>增加</w:t>
      </w:r>
      <w:bookmarkStart w:id="1" w:name="_GoBack"/>
      <w:bookmarkEnd w:id="1"/>
      <w:r>
        <w:rPr>
          <w:rFonts w:hint="eastAsia" w:ascii="仿宋" w:hAnsi="仿宋" w:eastAsia="仿宋"/>
          <w:sz w:val="32"/>
          <w:szCs w:val="32"/>
        </w:rPr>
        <w:t>7752万元，增加3.3%。</w:t>
      </w:r>
      <w:r>
        <w:rPr>
          <w:rFonts w:hint="eastAsia" w:ascii="仿宋" w:hAnsi="仿宋" w:eastAsia="仿宋" w:cs="Arial"/>
          <w:kern w:val="0"/>
          <w:sz w:val="32"/>
          <w:szCs w:val="32"/>
        </w:rPr>
        <w:t>具体情况如下：</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(一)一般公共服务支出21034万元，较上年增加846万元，增长4.2%。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1.人大事务879万元，较上年减少129万元，下降12.8%。</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2.政协事务631万元，较上年增加97万元，增长18.2%。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3.政府办公厅(室)及相关机构事务4676万元，较上年增加1268万元，增长37.2%。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4.发展与改革事务810万元，较上年减少218万元，下降21.2%。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5.统计信息事务578万元，较上年减少59万元，下降9.3%。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6.财政事务1515万元，较上年增加430万元，增长39.6%。</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7.税收事务2300万元，较上年增加400万元，增长21.1%。</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8.审计事务421万元，较上年增加1万元，增长0.2%。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9.纪检监察事务1875万元，较上年增加97万元，增长5.5%。</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10.商贸事务980万元，较上年增加161万元，增长19.7%。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left="638" w:leftChars="304"/>
        <w:rPr>
          <w:rFonts w:ascii="仿宋" w:hAnsi="仿宋" w:eastAsia="仿宋"/>
          <w:sz w:val="32"/>
          <w:szCs w:val="32"/>
        </w:rPr>
      </w:pPr>
      <w:r>
        <w:rPr>
          <w:rFonts w:hint="eastAsia" w:ascii="仿宋" w:hAnsi="仿宋" w:eastAsia="仿宋"/>
          <w:sz w:val="32"/>
          <w:szCs w:val="32"/>
        </w:rPr>
        <w:t>11.民族事务51万元，较上年减少1万元，下降1.9%。12.港澳台事务70万元，较上年增加23万元，增长48.9%。</w:t>
      </w:r>
    </w:p>
    <w:p>
      <w:pPr>
        <w:spacing w:line="360" w:lineRule="auto"/>
        <w:ind w:left="638" w:leftChars="304"/>
        <w:rPr>
          <w:rFonts w:ascii="仿宋" w:hAnsi="仿宋" w:eastAsia="仿宋"/>
          <w:sz w:val="32"/>
          <w:szCs w:val="32"/>
        </w:rPr>
      </w:pPr>
      <w:r>
        <w:rPr>
          <w:rFonts w:hint="eastAsia" w:ascii="仿宋" w:hAnsi="仿宋" w:eastAsia="仿宋"/>
          <w:sz w:val="32"/>
          <w:szCs w:val="32"/>
        </w:rPr>
        <w:t>13.档案事务130万元，较上年减少12万元，下降8.5%。</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14.民主党派及工商联事务52万元，较上年增加15万元，增长40.5%。</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15.群众团体事务349万元，较上年减少930万元，下降72.7%。</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16.党委办公厅(室)及相关机构事务2346万元，较上年减少116万元，下降4.7%。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left="638" w:leftChars="304"/>
        <w:rPr>
          <w:rFonts w:ascii="仿宋" w:hAnsi="仿宋" w:eastAsia="仿宋"/>
          <w:sz w:val="32"/>
          <w:szCs w:val="32"/>
        </w:rPr>
      </w:pPr>
      <w:r>
        <w:rPr>
          <w:rFonts w:hint="eastAsia" w:ascii="仿宋" w:hAnsi="仿宋" w:eastAsia="仿宋"/>
          <w:sz w:val="32"/>
          <w:szCs w:val="32"/>
        </w:rPr>
        <w:t>17.组织事务677万元，较上年减少189万元，下降21.8%。</w:t>
      </w:r>
    </w:p>
    <w:p>
      <w:pPr>
        <w:spacing w:line="360" w:lineRule="auto"/>
        <w:ind w:left="638" w:leftChars="304"/>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18.宣传事务502万元，较上年增加120万元，增长31.4%。19.统战事务231万元，较上年减少22万元，下降8.7%。</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20.市场监督管理事务1874万元，较上年减少4万元，下降0.2%。</w:t>
      </w:r>
    </w:p>
    <w:p>
      <w:pPr>
        <w:spacing w:line="360" w:lineRule="auto"/>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21.其他一般公共服务支出(款)87万元，较上年减少9万元，下降9.4%。</w:t>
      </w:r>
    </w:p>
    <w:p>
      <w:pPr>
        <w:spacing w:line="360" w:lineRule="auto"/>
        <w:ind w:firstLine="480" w:firstLineChars="15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（二）公共安全支出12685万元，较上年增加1147万元，增长9.9%。</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1.武装警察部队(款)32万元，较上年减少29万元，下降47.5%。</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2.公安11211万元，较上年增加1191万元，增长11.9%。</w:t>
      </w:r>
    </w:p>
    <w:p>
      <w:pPr>
        <w:spacing w:line="360" w:lineRule="auto"/>
        <w:ind w:left="638" w:leftChars="304"/>
        <w:rPr>
          <w:rFonts w:ascii="仿宋" w:hAnsi="仿宋" w:eastAsia="仿宋"/>
          <w:sz w:val="32"/>
          <w:szCs w:val="32"/>
        </w:rPr>
      </w:pPr>
      <w:r>
        <w:rPr>
          <w:rFonts w:hint="eastAsia" w:ascii="仿宋" w:hAnsi="仿宋" w:eastAsia="仿宋"/>
          <w:sz w:val="32"/>
          <w:szCs w:val="32"/>
        </w:rPr>
        <w:t>3.司法1045万元，较上年增加31万元，增长3.1%。</w:t>
      </w:r>
    </w:p>
    <w:p>
      <w:pPr>
        <w:spacing w:line="360" w:lineRule="auto"/>
        <w:ind w:left="638" w:leftChars="304"/>
        <w:rPr>
          <w:rFonts w:ascii="仿宋" w:hAnsi="仿宋" w:eastAsia="仿宋"/>
          <w:sz w:val="32"/>
          <w:szCs w:val="32"/>
        </w:rPr>
      </w:pPr>
    </w:p>
    <w:p>
      <w:pPr>
        <w:spacing w:line="360" w:lineRule="auto"/>
        <w:ind w:left="638" w:leftChars="304"/>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4.其他公共安全支出（款）397万元，去年无发生额</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（三）教育支出65065元，较上年增加1251万元，增长2%。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1.教育管理事务1349万元，较上年减少1802万元，下降57.2%。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2.普通教育50240万元，较上年减少6101万元，下降10.8%。</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3.职业教育2029万元，较上年减少194万元，下降8.7%。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4.特殊教育542万元，较上年增加32万元，增长6.3%。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5.进修及培训1147万元，较上年增加38万元，增长3.4%。</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6.教育费附加安排的支出2972万元，较上年增加2586万元，增长669.9%。(主要是2022年拨付教育局改善学校办学条件1000万元，教育建设项目政府购买服务经费1593万元。)</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7.其他教育支出(款)6786万元，较上年增长6692万元，增长7119.1%。(2022年四馆建设5600万元)</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（四）科学技术支出6445万元，较上年减少565万元，下降8.1%。</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1.应用研究23万元，较上年增加3万元，增长15%。</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2.技术研究与开发579万元，较上年减少30万元，下降4.9%。</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3.</w:t>
      </w:r>
      <w:r>
        <w:rPr>
          <w:rFonts w:hint="eastAsia" w:ascii="仿宋" w:hAnsi="仿宋" w:eastAsia="仿宋"/>
          <w:color w:val="000000" w:themeColor="text1"/>
          <w:sz w:val="32"/>
          <w:szCs w:val="32"/>
        </w:rPr>
        <w:t>科技条件与服务40万元，去年无发生额。</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4.科学技术普及127万元，较上年增加15万元，增长13.4%。</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5.其他科学技术支出(款)5676万元，较上年减少592万元，下降9.4%。</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（五）文化旅游体育与传媒支出2951万元，较上年减少262万元，下降8.2%。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1.文化和旅游970万元，较上年减少169万元，下降14.8%。</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2.文物673万元，较上年减少158万元，下降19%。</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3.体育411万元，较上年增加109万元，增长36.1%。</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4.广播电视716万元，较上年减少45万元，下降5.9%。</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5.其他文化体育与传媒支出(款)181万元，较上年增加1万元，增长0.6%。</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（六）社会保障和就业支出41268万元，较上年增加10491万元，增长34.1%。</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1.人力资源和社会保障管理事务1072万元，较上年减少50万元，下降4.5%。</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2.民政管理事务588万元，较上年减少140万元，下降19.2%。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3.行政事业单位养老支出10959万元，较上年增加1848万元，增长20.3%。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4.企业改革补助4426万元，较上年增加4416万元，增长44160%。(2022年漳平市光明矿业有限公司提前终止合同补偿、支付履约保证金及市矿产工业公司解聘人员等工作经费4426万元)</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5.就业补助1248万元，较上年增加401万元，增长47.3%。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6.抚恤1694万元，较上年增加54万元，增长3.3%。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7.退役安置253万元，较上年增加42万元，增长19.9%。</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8.社会福利2559万元，较上年增加1537万元，增长150.4%。</w:t>
      </w:r>
    </w:p>
    <w:p>
      <w:pPr>
        <w:spacing w:line="360" w:lineRule="auto"/>
        <w:ind w:firstLine="640" w:firstLineChars="200"/>
        <w:rPr>
          <w:rFonts w:ascii="仿宋" w:hAnsi="仿宋" w:eastAsia="仿宋"/>
          <w:sz w:val="32"/>
          <w:szCs w:val="32"/>
        </w:rPr>
      </w:pPr>
      <w:r>
        <w:rPr>
          <w:rFonts w:hint="eastAsia" w:ascii="仿宋" w:hAnsi="仿宋" w:eastAsia="仿宋"/>
          <w:sz w:val="32"/>
          <w:szCs w:val="32"/>
        </w:rPr>
        <w:t>9.残疾人事业1395万元，较上年增加222万元，增长18.9%。</w:t>
      </w:r>
    </w:p>
    <w:p>
      <w:pPr>
        <w:spacing w:line="360" w:lineRule="auto"/>
        <w:ind w:left="638" w:leftChars="304"/>
        <w:rPr>
          <w:rFonts w:ascii="仿宋" w:hAnsi="仿宋" w:eastAsia="仿宋"/>
          <w:sz w:val="32"/>
          <w:szCs w:val="32"/>
        </w:rPr>
      </w:pPr>
      <w:r>
        <w:rPr>
          <w:rFonts w:hint="eastAsia" w:ascii="仿宋" w:hAnsi="仿宋" w:eastAsia="仿宋"/>
          <w:sz w:val="32"/>
          <w:szCs w:val="32"/>
        </w:rPr>
        <w:t>10.红十字事业110万元，较上年增加58万元，增长111.5%。（主要是2022年新增为民办实事应急救护员培训及AED除颤器购置经费）</w:t>
      </w:r>
    </w:p>
    <w:p>
      <w:pPr>
        <w:spacing w:line="360" w:lineRule="auto"/>
        <w:ind w:left="638" w:leftChars="304"/>
        <w:rPr>
          <w:rFonts w:ascii="仿宋" w:hAnsi="仿宋" w:eastAsia="仿宋"/>
          <w:sz w:val="32"/>
          <w:szCs w:val="32"/>
        </w:rPr>
      </w:pPr>
      <w:r>
        <w:rPr>
          <w:rFonts w:hint="eastAsia" w:ascii="仿宋" w:hAnsi="仿宋" w:eastAsia="仿宋"/>
          <w:sz w:val="32"/>
          <w:szCs w:val="32"/>
        </w:rPr>
        <w:t>11.最低生活保障2949万元，较上年增加872万元，增长42%。</w:t>
      </w:r>
    </w:p>
    <w:p>
      <w:pPr>
        <w:spacing w:line="360" w:lineRule="auto"/>
        <w:ind w:left="638" w:leftChars="304"/>
        <w:rPr>
          <w:rFonts w:ascii="仿宋" w:hAnsi="仿宋" w:eastAsia="仿宋"/>
          <w:sz w:val="32"/>
          <w:szCs w:val="32"/>
        </w:rPr>
      </w:pPr>
      <w:r>
        <w:rPr>
          <w:rFonts w:hint="eastAsia" w:ascii="仿宋" w:hAnsi="仿宋" w:eastAsia="仿宋"/>
          <w:sz w:val="32"/>
          <w:szCs w:val="32"/>
        </w:rPr>
        <w:t>12.临时救助477万元，较上年增加88万元，增长22.6%。13.特困人员救助供养1216万元，较上年减少28万元，</w:t>
      </w:r>
    </w:p>
    <w:p>
      <w:pPr>
        <w:spacing w:line="360" w:lineRule="auto"/>
        <w:rPr>
          <w:rFonts w:ascii="仿宋" w:hAnsi="仿宋" w:eastAsia="仿宋"/>
          <w:sz w:val="32"/>
          <w:szCs w:val="32"/>
        </w:rPr>
      </w:pPr>
      <w:r>
        <w:rPr>
          <w:rFonts w:hint="eastAsia" w:ascii="仿宋" w:hAnsi="仿宋" w:eastAsia="仿宋"/>
          <w:sz w:val="32"/>
          <w:szCs w:val="32"/>
        </w:rPr>
        <w:t>下降2.3%。</w:t>
      </w:r>
    </w:p>
    <w:p>
      <w:pPr>
        <w:spacing w:line="360" w:lineRule="auto"/>
        <w:ind w:left="638" w:leftChars="304"/>
        <w:rPr>
          <w:rFonts w:ascii="仿宋" w:hAnsi="仿宋" w:eastAsia="仿宋"/>
          <w:sz w:val="32"/>
          <w:szCs w:val="32"/>
        </w:rPr>
      </w:pPr>
      <w:r>
        <w:rPr>
          <w:rFonts w:hint="eastAsia" w:ascii="仿宋" w:hAnsi="仿宋" w:eastAsia="仿宋"/>
          <w:sz w:val="32"/>
          <w:szCs w:val="32"/>
        </w:rPr>
        <w:t>14.财政对基本养老保险基金的补助9018万元，较上年</w:t>
      </w:r>
    </w:p>
    <w:p>
      <w:pPr>
        <w:spacing w:line="360" w:lineRule="auto"/>
        <w:rPr>
          <w:rFonts w:ascii="仿宋" w:hAnsi="仿宋" w:eastAsia="仿宋"/>
          <w:sz w:val="32"/>
          <w:szCs w:val="32"/>
        </w:rPr>
      </w:pPr>
      <w:r>
        <w:rPr>
          <w:rFonts w:hint="eastAsia" w:ascii="仿宋" w:hAnsi="仿宋" w:eastAsia="仿宋"/>
          <w:sz w:val="32"/>
          <w:szCs w:val="32"/>
        </w:rPr>
        <w:t>减少102万元，下降1.1%。</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15.退役军人管理事务273万元，较上年增加68万元，增长33.2%。</w:t>
      </w:r>
    </w:p>
    <w:p>
      <w:pPr>
        <w:spacing w:line="360" w:lineRule="auto"/>
        <w:ind w:firstLine="640" w:firstLineChars="200"/>
        <w:rPr>
          <w:rFonts w:ascii="仿宋" w:hAnsi="仿宋" w:eastAsia="仿宋"/>
          <w:color w:val="FF0000"/>
          <w:sz w:val="32"/>
          <w:szCs w:val="32"/>
        </w:rPr>
      </w:pPr>
      <w:r>
        <w:rPr>
          <w:rFonts w:hint="eastAsia" w:ascii="仿宋" w:hAnsi="仿宋" w:eastAsia="仿宋"/>
          <w:sz w:val="32"/>
          <w:szCs w:val="32"/>
        </w:rPr>
        <w:t>16.财政代缴社会保险费支出102万元，上年无发生额。</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17.其他社会保障和就业支出(款)2929万元，较上年增加1158万元，增长65.4%。</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（七）卫生健康支出12429万元，较上年减少1911万元，下降13.3%。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1.卫生健康管理事务395万元，较上年增加80万元，增长25.4%。</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2.公立医院1206万元，较上年减少1821万元，下降60.2%。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3.基层医疗卫生机构3284万元，与上年持平。</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4.公共卫生5692万元，较上年增加381万元，增长7.2%。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5.中医药110万元，与上年持平。</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6.计划生育事务1332万元，较上年增加338万元，增长34%。</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7.财政对基本医疗保险基金的补助331万元，较上年增加38万元，增长13.0%。</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8.优抚对象医疗26万元，较上年增加3万元，增长13%。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9.其他卫生健康支出(款)384万元，较上年减少671万元，下降63.6%。</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（八）节能环保支出7107万元，较上年减少558万元，下降7.3%。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1.污染防治3564万元，较上年减少92万元，下降2.5%。</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2.自然生态保护1353万元，较上年增加75万元，增长5.9%。</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3.天然林保护265万元，较上年增加减少146万元，下降35.5。</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4.能源节约利用(款)252万元，较上年增加7万元，增长2.9%。</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5.其他节能环保支出（款）1673万元，较上年减少402万元，下降19.4%。</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（九）城乡社区支出7475万元，较上年增加339万元，增长4.8%。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1.城乡社区管理事务3131万元，较上年减少118万元，下降3.6%。</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2.城乡社区规划与管理(款)425万元，较上年减少410万元，下降49.1%。</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3.城乡社区公共设施2303万元，较上年增加33万元，增长1.5%。</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4.城乡社区环境卫生(款)657万元，较上年减少49万元，下降6.9%。</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5.其他城乡社区支出(款)959万元，较上年增加884万元，增长1178.7%。（主要是2022年拨付漳平市住房和城乡建设局2022年第二季度城市建设项目国开行政府购买服务费用592万元）</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（十）农林水支出30694万元，较上年减少4489万元，下降12.8%。</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1.农业农村12634万元，较上年增加741万元，增长6.2%。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2.林业和草原9183万元，较上年增加542万元，增长6.3%。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3.水利5249万元，较上年减少4773万元，下降47.6%。</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4.扶贫2832万元，较上年减少1033万元，下降26.7%。</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5.农村综合改革516万元，较上年增加16万元，增长3.2%。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6.普惠金融发展支出274万元，较上年增加30万元，增长12.3%。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7.其他农林水支出(款)6万元，较上年减少12万元，下降66.7%。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（十一）交通运输支出4904万元，较上年减少7586万元，下降60.7%。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1.公路水路运输3030万元，较上年减少5977万元，下降66.4%。</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2.民用航空运输58万元，较上年减少122万元，下降67.8%。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3.邮政业支出10万元，与上年持平。</w:t>
      </w:r>
    </w:p>
    <w:p>
      <w:pPr>
        <w:spacing w:line="360" w:lineRule="auto"/>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color w:val="FF0000"/>
          <w:sz w:val="32"/>
          <w:szCs w:val="32"/>
        </w:rPr>
      </w:pPr>
      <w:r>
        <w:rPr>
          <w:rFonts w:hint="eastAsia" w:ascii="仿宋" w:hAnsi="仿宋" w:eastAsia="仿宋"/>
          <w:sz w:val="32"/>
          <w:szCs w:val="32"/>
        </w:rPr>
        <w:t>4.车辆购置税支出819万元，较上年减少1766万元，下降68.3%。</w:t>
      </w:r>
      <w:r>
        <w:rPr>
          <w:rFonts w:ascii="仿宋" w:hAnsi="仿宋" w:eastAsia="仿宋"/>
          <w:color w:val="FF0000"/>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5.其他交通运输支出（款）987万元，较上年增加717万元，增长265.6%。</w:t>
      </w:r>
    </w:p>
    <w:p>
      <w:pPr>
        <w:spacing w:line="360" w:lineRule="auto"/>
        <w:rPr>
          <w:rFonts w:ascii="仿宋" w:hAnsi="仿宋" w:eastAsia="仿宋"/>
          <w:color w:val="FF0000"/>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（十二）资源勘探工业信息等支出3556万元，较上年增加2066万元，增长138.7%。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1.资源勘探开发13万元，较上年减少428万元，下降97.1%。</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2.支持中小企业发展和管理支出1477万元，较上年增加861万元，增长139.8%。</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3.其他资源勘探信息等支出(款)2066万元，较上年增加1632万元，增长376%。（主要是拨付龙财企指〔2022〕8号2017-2019年工业企业技术改造奖励资金（红狮水泥三期扩建））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（十三）商业服务业等支出2976万元，较上年增加1056万元，增长55%。</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1.商业流通事务1626万元，较上年增加437万元，增长36.8%。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2.涉外发展服务支出1278万元，较上年增加677万元，增长112.6%。（主要是拨付商务局外贸发展专项资金990万元）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3.其他商业服务业等支出(款)72万元，较上年减少58万元，下降44.6%。</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（十四）金融支出170万元，较上年增加44万元，增长34.9%。</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1.金融发展支出39万元，去年无同期数。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2.其他金融支出(款)131万元，较上年增加5万元，增长4%。</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（十五）自然资源海洋气象等支出12852万元，较上年增加6966万元，增长118.3%。</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1.自然资源事务6228万元，较上年增加444万元，增长7.7%。</w:t>
      </w:r>
    </w:p>
    <w:p>
      <w:pPr>
        <w:spacing w:line="360" w:lineRule="auto"/>
        <w:ind w:left="638" w:leftChars="304"/>
        <w:rPr>
          <w:rFonts w:ascii="仿宋" w:hAnsi="仿宋" w:eastAsia="仿宋"/>
          <w:sz w:val="32"/>
          <w:szCs w:val="32"/>
        </w:rPr>
      </w:pPr>
      <w:r>
        <w:rPr>
          <w:rFonts w:hint="eastAsia" w:ascii="仿宋" w:hAnsi="仿宋" w:eastAsia="仿宋"/>
          <w:sz w:val="32"/>
          <w:szCs w:val="32"/>
        </w:rPr>
        <w:t>2.气象事务98万元，较上年减少4万元，下降3.9%。</w:t>
      </w:r>
    </w:p>
    <w:p>
      <w:pPr>
        <w:spacing w:line="360" w:lineRule="auto"/>
        <w:ind w:left="638" w:leftChars="304"/>
        <w:rPr>
          <w:rFonts w:ascii="仿宋" w:hAnsi="仿宋" w:eastAsia="仿宋"/>
          <w:sz w:val="32"/>
          <w:szCs w:val="32"/>
        </w:rPr>
      </w:pPr>
      <w:r>
        <w:rPr>
          <w:rFonts w:hint="eastAsia" w:ascii="仿宋" w:hAnsi="仿宋" w:eastAsia="仿宋"/>
          <w:sz w:val="32"/>
          <w:szCs w:val="32"/>
        </w:rPr>
        <w:t>3.其他自然资源海洋气象等支出（款）6526万元，上年同期无发生。</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（十六）住房保障支出3359万元，较上年减少1666万元，下降33.2%。</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1.保障性安居工程支出1074万元，较上年减少1866万元，下降63.5%。（主要是2022年老旧小区改造较2021年老旧小区改造减少1504万元）</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2.住房改革支出2285万元，较上年增加200万元，增长9.6%。</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（十七）粮油物资储备支出523万元，较上年增加150万元，增长40.2%。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1.粮油事务409万元，较上年增加36万元，增长9.7%。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2.粮油储备114万元，去年同期无发生。</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（十八）灾害防治及应急管理支出2770万元，较上年增加397万元，增长16.7%。</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1.应急管理事务1179万元，较上年增长276万元，增长30.6%。</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2.消防事务757万元，较上年减少86万元，下降10.2%。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3.地震事务63万元，较上年减少21万元，下降25%.</w:t>
      </w:r>
    </w:p>
    <w:p>
      <w:pPr>
        <w:spacing w:line="360" w:lineRule="auto"/>
        <w:ind w:left="319" w:leftChars="152" w:firstLine="320" w:firstLineChars="100"/>
        <w:rPr>
          <w:rFonts w:ascii="仿宋" w:hAnsi="仿宋" w:eastAsia="仿宋"/>
          <w:sz w:val="32"/>
          <w:szCs w:val="32"/>
        </w:rPr>
      </w:pPr>
      <w:r>
        <w:rPr>
          <w:rFonts w:hint="eastAsia" w:ascii="仿宋" w:hAnsi="仿宋" w:eastAsia="仿宋"/>
          <w:sz w:val="32"/>
          <w:szCs w:val="32"/>
        </w:rPr>
        <w:t>4.自然灾害防治269万元，较上年增加236万元，增长715.2%。</w:t>
      </w:r>
    </w:p>
    <w:p>
      <w:pPr>
        <w:spacing w:line="360" w:lineRule="auto"/>
        <w:ind w:left="319" w:leftChars="152" w:firstLine="320" w:firstLineChars="100"/>
        <w:rPr>
          <w:rFonts w:ascii="仿宋" w:hAnsi="仿宋" w:eastAsia="仿宋"/>
          <w:sz w:val="32"/>
          <w:szCs w:val="32"/>
        </w:rPr>
      </w:pPr>
      <w:r>
        <w:rPr>
          <w:rFonts w:hint="eastAsia" w:ascii="仿宋" w:hAnsi="仿宋" w:eastAsia="仿宋"/>
          <w:sz w:val="32"/>
          <w:szCs w:val="32"/>
        </w:rPr>
        <w:t>5.自然灾害救灾及恢复重建支出493万元，较上年增加491万元，增长24550%。（主要是2022年自然灾害救灾资金493万元）</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6.其他灾害防治及应急管理支出9万元，去年无同期发生额。</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（十九）其他支出(类)397万元，较上年减少579万元，下降59.3%。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1.其他支出(款)397万元，较上年减少579万元，下降59.3%。</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r>
        <w:rPr>
          <w:rFonts w:hint="eastAsia" w:ascii="仿宋" w:hAnsi="仿宋" w:eastAsia="仿宋"/>
          <w:sz w:val="32"/>
          <w:szCs w:val="32"/>
        </w:rPr>
        <w:t>（二十）债务付息支出6757万元，较上年增加632万元，增长10.3%。</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1.地方政府一般债务付息支出6757万元，较上年增加632万元，增长10.3%。</w:t>
      </w:r>
    </w:p>
    <w:p>
      <w:pPr>
        <w:spacing w:line="360" w:lineRule="auto"/>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（二十一）债务发行费用支出28万元，较上年减少17万元，下降37.8%。</w:t>
      </w:r>
    </w:p>
    <w:p>
      <w:pPr>
        <w:spacing w:line="360" w:lineRule="auto"/>
        <w:ind w:firstLine="640" w:firstLineChars="200"/>
        <w:rPr>
          <w:rFonts w:ascii="仿宋" w:hAnsi="仿宋" w:eastAsia="仿宋"/>
          <w:sz w:val="32"/>
          <w:szCs w:val="32"/>
        </w:rPr>
        <w:sectPr>
          <w:type w:val="continuous"/>
          <w:pgSz w:w="11907" w:h="16840"/>
          <w:pgMar w:top="1440" w:right="1800" w:bottom="1440" w:left="1800"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1.地方政府一般债务发行费用支出28万元，较上年减少17万元，下降37.8%。</w:t>
      </w:r>
    </w:p>
    <w:p>
      <w:pPr>
        <w:spacing w:line="360" w:lineRule="auto"/>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二、财政转移支付收入情况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2022年度漳平市本级收到税收返还和转移支付收入决算数为192932万元，比2021年度决算数增加42389万元，增长22%。具体情况如下：</w:t>
      </w:r>
    </w:p>
    <w:p>
      <w:pPr>
        <w:spacing w:line="360" w:lineRule="auto"/>
        <w:ind w:firstLine="643" w:firstLineChars="200"/>
        <w:rPr>
          <w:rFonts w:ascii="仿宋" w:hAnsi="仿宋" w:eastAsia="仿宋" w:cs="Arial"/>
          <w:b/>
          <w:bCs/>
          <w:kern w:val="0"/>
          <w:sz w:val="32"/>
          <w:szCs w:val="32"/>
        </w:rPr>
      </w:pPr>
      <w:r>
        <w:rPr>
          <w:rFonts w:hint="eastAsia" w:ascii="仿宋" w:hAnsi="仿宋" w:eastAsia="仿宋" w:cs="Arial"/>
          <w:b/>
          <w:kern w:val="0"/>
          <w:sz w:val="32"/>
          <w:szCs w:val="32"/>
        </w:rPr>
        <w:t>（一）</w:t>
      </w:r>
      <w:r>
        <w:rPr>
          <w:rStyle w:val="6"/>
          <w:rFonts w:hint="eastAsia" w:ascii="仿宋" w:hAnsi="仿宋" w:eastAsia="仿宋" w:cs="Arial"/>
          <w:kern w:val="0"/>
          <w:sz w:val="32"/>
          <w:szCs w:val="32"/>
        </w:rPr>
        <w:t>一般性转移支付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2022年度漳平市本级收到一般性转移支付收入决算数为132095万元，较上年增加18339万元，增长13.9%。具体情况如下：</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1.均衡性转移支付收入28317万元，较上年增加2446万元，增长8.6%。</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2.县级基本财力保障机制奖补资金收入10669万元，较上年增加508万元，增长4.8%。</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3.结算补助收入1443万元，较上年减少332万元，下降23%。</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4.重点生态功能区转移支付收入3859万元，较上年减少69万元，下降1.8%。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5.固定数额补助收入23万元，上年无。</w:t>
      </w:r>
    </w:p>
    <w:p>
      <w:pPr>
        <w:spacing w:line="360" w:lineRule="auto"/>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6.革命老区转移支付收入3935万元，较上年增加35万元，增长0.9%。</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7.欠发达地区转移支付收入1508万元，较上年减少183万元，下降12.1%。</w:t>
      </w:r>
    </w:p>
    <w:p>
      <w:pPr>
        <w:spacing w:line="360" w:lineRule="auto"/>
        <w:ind w:firstLine="640" w:firstLineChars="200"/>
        <w:rPr>
          <w:rFonts w:ascii="仿宋" w:hAnsi="仿宋" w:eastAsia="仿宋"/>
          <w:sz w:val="32"/>
          <w:szCs w:val="32"/>
        </w:rPr>
      </w:pPr>
      <w:r>
        <w:rPr>
          <w:rFonts w:hint="eastAsia" w:ascii="仿宋" w:hAnsi="仿宋" w:eastAsia="仿宋"/>
          <w:sz w:val="32"/>
          <w:szCs w:val="32"/>
        </w:rPr>
        <w:t>8.公共安全共同财政事权转移支付收入1588万元，较上年减少61万元，下降3.8%。</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9.教育共同财政事权转移支付收入7325万元，较上年增加1477万元，增长20.2%。</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10.科学技术共同财政事权转移支付收入314万元，较上年减少214万元，下降68.2%。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11.文化旅游体育与传媒共同财政事权转移支付收入761万元，较上年减少419万元，下降55.1%。</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12.社会保障和就业共同财政事权转移支付收入15000万元，较上年增加421万元，增长2.8%。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13.医疗卫生共同财政事权转移支付收入3597万元，较上年减少186万元，下降5.2%。</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14.节能环保共同财政事权转移支付收入844万元，较</w:t>
      </w:r>
      <w:bookmarkStart w:id="0" w:name="OLE_LINK1"/>
      <w:r>
        <w:rPr>
          <w:rFonts w:hint="eastAsia" w:ascii="仿宋" w:hAnsi="仿宋" w:eastAsia="仿宋"/>
          <w:sz w:val="32"/>
          <w:szCs w:val="32"/>
        </w:rPr>
        <w:t>上年增加373万元，增长44.2%。</w:t>
      </w:r>
      <w:bookmarkEnd w:id="0"/>
    </w:p>
    <w:p>
      <w:pPr>
        <w:spacing w:line="360" w:lineRule="auto"/>
        <w:ind w:firstLine="640" w:firstLineChars="200"/>
        <w:rPr>
          <w:rFonts w:ascii="仿宋" w:hAnsi="仿宋" w:eastAsia="仿宋"/>
          <w:sz w:val="32"/>
          <w:szCs w:val="32"/>
        </w:rPr>
      </w:pPr>
      <w:r>
        <w:rPr>
          <w:rFonts w:hint="eastAsia" w:ascii="仿宋" w:hAnsi="仿宋" w:eastAsia="仿宋"/>
          <w:sz w:val="32"/>
          <w:szCs w:val="32"/>
        </w:rPr>
        <w:t>15.农林水共同财政事权转移支付收入29538万元，较上年增加6394万元，增长21.6%。</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16.交通运输共同财政事权转移支付收入2970万元，较上年减少481万元，下降16.2%。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17.自然资源海洋气象等共同财政事权转移支付收入28万元，较上年减少565万元，下降2017.9%。</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18.住房保障共同财政事权转移支付收1704万元，较上年减少1825万元，下降107.1%。</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19.</w:t>
      </w:r>
      <w:r>
        <w:rPr>
          <w:rFonts w:hint="eastAsia"/>
        </w:rPr>
        <w:t xml:space="preserve"> </w:t>
      </w:r>
      <w:r>
        <w:rPr>
          <w:rFonts w:hint="eastAsia" w:ascii="仿宋" w:hAnsi="仿宋" w:eastAsia="仿宋"/>
          <w:sz w:val="32"/>
          <w:szCs w:val="32"/>
        </w:rPr>
        <w:t>灾害防治及应急管理共同财政事权转移支付收入309万元，较上年增加307万元，增长99.4%。</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20.增值税留抵退税转移支付收入3924万元，去年无发生额。</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21.其他退税减税降费转移支付收入3147万元，去年无发生额。</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22.补充县区财力转移支付收入7210万元，去年无发生额。</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23.其他一般性转移支付收入4082万元，去年无发生额。</w:t>
      </w:r>
    </w:p>
    <w:p>
      <w:pPr>
        <w:spacing w:line="360" w:lineRule="auto"/>
        <w:ind w:firstLine="643" w:firstLineChars="200"/>
        <w:rPr>
          <w:rFonts w:ascii="仿宋" w:hAnsi="仿宋" w:eastAsia="仿宋"/>
          <w:b/>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b/>
          <w:sz w:val="32"/>
          <w:szCs w:val="32"/>
        </w:rPr>
        <w:t>（二）专项转移支付</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2022年度漳平市本级收到专项转移支付收入为55050万元，较上年减少24050万元，增长43.7%。具体情况如下：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1.一般公共服务928万元，较上年增加191万元，增长 20.6%。</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2.国防66万元，去年无发生额。</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3.公共安全143万元，较上年减少45万元，下降31.5%。</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4.教育55万元，与上年持平。</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5.科学技术122万元，较上年减少517万元，下降423.8%。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6.文化旅游体育与传媒75万元，较上年减少54万元，下降72%。</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7.社会保障和就业484万元，较上年减少331万元，下降68.4%。</w:t>
      </w:r>
    </w:p>
    <w:p>
      <w:pPr>
        <w:spacing w:line="360" w:lineRule="auto"/>
        <w:ind w:left="638" w:leftChars="304"/>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8.卫生健康179万元，较上年减少665万元，下降371.5%。9.节能环保9821万元，较上年增加3750万元，增长38.2%。</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10.城乡社区3600万元，较上年增加1321万元，增长36.7%。</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11.农林水4351万元，较上年减少3259万元，下降74.9%。</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12.交通运输134万元，较上年增加56万元，增长41.8%。</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13.资源勘探信息等3172万元，较上年增加1639万元，增长51.7%。</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14.商业服务业等1889万元，较上年增加136万元，增长7.2%。</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15.金融42万元，较上年减少290万元，下降690.5%。</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16.自然资源海洋气象等29324万元，较上年增加23726万元，增长80.9%。</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17.粮油物资储备25万元，去年无发生额。</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18.灾害防治及应急管理515万元，较上年增加228万元，增长44.3%。</w:t>
      </w:r>
    </w:p>
    <w:p>
      <w:pPr>
        <w:spacing w:line="360" w:lineRule="auto"/>
        <w:ind w:firstLine="640" w:firstLineChars="200"/>
        <w:rPr>
          <w:rFonts w:ascii="仿宋" w:hAnsi="仿宋" w:eastAsia="仿宋"/>
          <w:sz w:val="32"/>
          <w:szCs w:val="32"/>
        </w:rPr>
        <w:sectPr>
          <w:type w:val="continuous"/>
          <w:pgSz w:w="11907" w:h="16840"/>
          <w:pgMar w:top="1440" w:right="1797" w:bottom="1440" w:left="1797" w:header="851" w:footer="992" w:gutter="0"/>
          <w:pgNumType w:start="1"/>
          <w:cols w:space="425" w:num="1"/>
          <w:docGrid w:linePitch="312" w:charSpace="0"/>
        </w:sectPr>
      </w:pPr>
      <w:r>
        <w:rPr>
          <w:rFonts w:hint="eastAsia" w:ascii="仿宋" w:hAnsi="仿宋" w:eastAsia="仿宋"/>
          <w:sz w:val="32"/>
          <w:szCs w:val="32"/>
        </w:rPr>
        <w:t>19.其他收入125万元，较上年减少159万元，下降127.2%。</w:t>
      </w:r>
    </w:p>
    <w:p>
      <w:pPr>
        <w:spacing w:line="360" w:lineRule="auto"/>
        <w:ind w:firstLine="643" w:firstLineChars="200"/>
        <w:rPr>
          <w:rStyle w:val="6"/>
          <w:rFonts w:ascii="仿宋" w:hAnsi="仿宋" w:eastAsia="仿宋" w:cs="Arial"/>
          <w:b w:val="0"/>
          <w:kern w:val="0"/>
          <w:sz w:val="32"/>
          <w:szCs w:val="32"/>
        </w:rPr>
      </w:pPr>
      <w:r>
        <w:rPr>
          <w:rFonts w:hint="eastAsia" w:ascii="仿宋" w:hAnsi="仿宋" w:eastAsia="仿宋" w:cs="Arial"/>
          <w:b/>
          <w:kern w:val="0"/>
          <w:sz w:val="32"/>
          <w:szCs w:val="32"/>
        </w:rPr>
        <w:t>（三）</w:t>
      </w:r>
      <w:r>
        <w:rPr>
          <w:rStyle w:val="6"/>
          <w:rFonts w:hint="eastAsia" w:ascii="仿宋" w:hAnsi="仿宋" w:eastAsia="仿宋" w:cs="Arial"/>
          <w:kern w:val="0"/>
          <w:sz w:val="32"/>
          <w:szCs w:val="32"/>
        </w:rPr>
        <w:t>税收返还</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2022年度漳平市本级收到税收返还收入决算数5787万元，与2021年度决算数持平。具体情况如下：</w:t>
      </w:r>
    </w:p>
    <w:p>
      <w:pPr>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cs="Arial"/>
          <w:kern w:val="0"/>
          <w:sz w:val="32"/>
          <w:szCs w:val="32"/>
        </w:rPr>
        <w:t>增值税和消费税返还收入决算数</w:t>
      </w:r>
      <w:r>
        <w:rPr>
          <w:rFonts w:hint="eastAsia" w:ascii="仿宋" w:hAnsi="仿宋" w:eastAsia="仿宋"/>
          <w:kern w:val="0"/>
          <w:sz w:val="32"/>
          <w:szCs w:val="32"/>
        </w:rPr>
        <w:t>2885万元，与上年持平。</w:t>
      </w:r>
    </w:p>
    <w:p>
      <w:pPr>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cs="Arial"/>
          <w:kern w:val="0"/>
          <w:sz w:val="32"/>
          <w:szCs w:val="32"/>
        </w:rPr>
        <w:t>所得税基数返还收入决算数</w:t>
      </w:r>
      <w:r>
        <w:rPr>
          <w:rFonts w:hint="eastAsia" w:ascii="仿宋" w:hAnsi="仿宋" w:eastAsia="仿宋"/>
          <w:kern w:val="0"/>
          <w:sz w:val="32"/>
          <w:szCs w:val="32"/>
        </w:rPr>
        <w:t>2571万元，与上年持平。</w:t>
      </w:r>
    </w:p>
    <w:p>
      <w:pPr>
        <w:spacing w:line="360" w:lineRule="auto"/>
        <w:ind w:firstLine="640" w:firstLineChars="200"/>
        <w:rPr>
          <w:rFonts w:ascii="仿宋" w:hAnsi="仿宋" w:eastAsia="仿宋"/>
          <w:kern w:val="0"/>
          <w:sz w:val="32"/>
          <w:szCs w:val="32"/>
        </w:rPr>
      </w:pPr>
      <w:r>
        <w:rPr>
          <w:rFonts w:hint="eastAsia" w:ascii="仿宋" w:hAnsi="仿宋" w:eastAsia="仿宋" w:cs="Arial"/>
          <w:kern w:val="0"/>
          <w:sz w:val="32"/>
          <w:szCs w:val="32"/>
        </w:rPr>
        <w:t>3.成品油税费改革税收返还收入决算数</w:t>
      </w:r>
      <w:r>
        <w:rPr>
          <w:rFonts w:hint="eastAsia" w:ascii="仿宋" w:hAnsi="仿宋" w:eastAsia="仿宋"/>
          <w:kern w:val="0"/>
          <w:sz w:val="32"/>
          <w:szCs w:val="32"/>
        </w:rPr>
        <w:t>331元，与上年持平。</w:t>
      </w:r>
    </w:p>
    <w:p>
      <w:pPr>
        <w:spacing w:line="600" w:lineRule="exact"/>
        <w:ind w:firstLine="643" w:firstLineChars="200"/>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三、政府债务情况</w:t>
      </w:r>
    </w:p>
    <w:p>
      <w:pPr>
        <w:pStyle w:val="10"/>
        <w:spacing w:line="600" w:lineRule="exact"/>
        <w:ind w:firstLine="592"/>
        <w:rPr>
          <w:rFonts w:ascii="黑体" w:hAnsi="黑体" w:eastAsia="黑体" w:cs="仿宋"/>
          <w:spacing w:val="-6"/>
        </w:rPr>
      </w:pPr>
      <w:r>
        <w:rPr>
          <w:rFonts w:hint="eastAsia" w:ascii="仿宋" w:hAnsi="仿宋" w:eastAsia="仿宋" w:cs="Arial"/>
          <w:b/>
          <w:szCs w:val="32"/>
        </w:rPr>
        <w:t>（一）</w:t>
      </w:r>
      <w:r>
        <w:rPr>
          <w:rFonts w:hint="eastAsia" w:ascii="黑体" w:hAnsi="黑体" w:eastAsia="黑体" w:cs="仿宋"/>
          <w:spacing w:val="-6"/>
        </w:rPr>
        <w:t>举借政府债务及债券资金使用安排情况</w:t>
      </w:r>
    </w:p>
    <w:p>
      <w:pPr>
        <w:pStyle w:val="11"/>
        <w:spacing w:before="0" w:beforeAutospacing="0" w:after="0" w:afterAutospacing="0" w:line="600" w:lineRule="exact"/>
        <w:ind w:firstLine="480" w:firstLineChars="150"/>
        <w:jc w:val="both"/>
        <w:rPr>
          <w:rFonts w:ascii="仿宋" w:hAnsi="仿宋" w:eastAsia="仿宋" w:cs="仿宋"/>
          <w:kern w:val="2"/>
          <w:sz w:val="32"/>
          <w:szCs w:val="32"/>
        </w:rPr>
      </w:pPr>
      <w:r>
        <w:rPr>
          <w:rFonts w:hint="eastAsia" w:ascii="仿宋" w:hAnsi="仿宋" w:eastAsia="仿宋" w:cs="仿宋"/>
          <w:sz w:val="32"/>
          <w:szCs w:val="32"/>
        </w:rPr>
        <w:t>我市</w:t>
      </w:r>
      <w:r>
        <w:rPr>
          <w:rFonts w:ascii="仿宋" w:hAnsi="仿宋" w:eastAsia="仿宋" w:cs="仿宋"/>
          <w:sz w:val="32"/>
          <w:szCs w:val="32"/>
        </w:rPr>
        <w:t>202</w:t>
      </w:r>
      <w:r>
        <w:rPr>
          <w:rFonts w:hint="eastAsia" w:ascii="仿宋" w:hAnsi="仿宋" w:eastAsia="仿宋" w:cs="仿宋"/>
          <w:sz w:val="32"/>
          <w:szCs w:val="32"/>
        </w:rPr>
        <w:t>2年新增债务限额83</w:t>
      </w:r>
      <w:r>
        <w:rPr>
          <w:rFonts w:hint="eastAsia" w:ascii="仿宋" w:hAnsi="仿宋" w:eastAsia="仿宋"/>
          <w:sz w:val="32"/>
          <w:szCs w:val="32"/>
        </w:rPr>
        <w:t>,</w:t>
      </w:r>
      <w:r>
        <w:rPr>
          <w:rFonts w:hint="eastAsia" w:ascii="仿宋" w:hAnsi="仿宋" w:eastAsia="仿宋" w:cs="仿宋"/>
          <w:sz w:val="32"/>
          <w:szCs w:val="32"/>
        </w:rPr>
        <w:t>164万元</w:t>
      </w:r>
      <w:r>
        <w:rPr>
          <w:rFonts w:hint="eastAsia" w:ascii="仿宋" w:hAnsi="仿宋" w:eastAsia="仿宋" w:cs="仿宋"/>
          <w:kern w:val="2"/>
          <w:sz w:val="32"/>
          <w:szCs w:val="32"/>
        </w:rPr>
        <w:t>,</w:t>
      </w:r>
      <w:r>
        <w:rPr>
          <w:rFonts w:hint="eastAsia" w:ascii="仿宋" w:hAnsi="仿宋" w:eastAsia="仿宋" w:cs="仿宋"/>
          <w:sz w:val="32"/>
          <w:szCs w:val="32"/>
        </w:rPr>
        <w:t>其中：一般债务限额14</w:t>
      </w:r>
      <w:r>
        <w:rPr>
          <w:rFonts w:hint="eastAsia" w:ascii="仿宋" w:hAnsi="仿宋" w:eastAsia="仿宋"/>
          <w:sz w:val="32"/>
          <w:szCs w:val="32"/>
        </w:rPr>
        <w:t>,</w:t>
      </w:r>
      <w:r>
        <w:rPr>
          <w:rFonts w:hint="eastAsia" w:ascii="仿宋" w:hAnsi="仿宋" w:eastAsia="仿宋" w:cs="仿宋"/>
          <w:sz w:val="32"/>
          <w:szCs w:val="32"/>
        </w:rPr>
        <w:t>440万元，专项债务限额68</w:t>
      </w:r>
      <w:r>
        <w:rPr>
          <w:rFonts w:hint="eastAsia" w:ascii="仿宋" w:hAnsi="仿宋" w:eastAsia="仿宋"/>
          <w:sz w:val="32"/>
          <w:szCs w:val="32"/>
        </w:rPr>
        <w:t>,</w:t>
      </w:r>
      <w:r>
        <w:rPr>
          <w:rFonts w:hint="eastAsia" w:ascii="仿宋" w:hAnsi="仿宋" w:eastAsia="仿宋" w:cs="仿宋"/>
          <w:sz w:val="32"/>
          <w:szCs w:val="32"/>
        </w:rPr>
        <w:t>724万元。主要是</w:t>
      </w:r>
      <w:r>
        <w:rPr>
          <w:rFonts w:ascii="仿宋" w:hAnsi="仿宋" w:eastAsia="仿宋" w:cs="仿宋"/>
          <w:sz w:val="32"/>
          <w:szCs w:val="32"/>
        </w:rPr>
        <w:t>：</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新增一般债券14</w:t>
      </w:r>
      <w:r>
        <w:rPr>
          <w:rFonts w:hint="eastAsia" w:ascii="仿宋" w:hAnsi="仿宋" w:eastAsia="仿宋"/>
          <w:sz w:val="32"/>
          <w:szCs w:val="32"/>
        </w:rPr>
        <w:t>,</w:t>
      </w:r>
      <w:r>
        <w:rPr>
          <w:rFonts w:hint="eastAsia" w:ascii="仿宋" w:hAnsi="仿宋" w:eastAsia="仿宋" w:cs="仿宋"/>
          <w:sz w:val="32"/>
          <w:szCs w:val="32"/>
        </w:rPr>
        <w:t>440万元,具体使用项目如下：</w:t>
      </w:r>
    </w:p>
    <w:p>
      <w:pPr>
        <w:spacing w:line="600" w:lineRule="exact"/>
        <w:ind w:firstLine="320" w:firstLineChars="100"/>
        <w:rPr>
          <w:rFonts w:ascii="仿宋_GB2312" w:eastAsia="仿宋_GB2312"/>
          <w:sz w:val="32"/>
          <w:szCs w:val="32"/>
        </w:rPr>
      </w:pPr>
      <w:r>
        <w:rPr>
          <w:rFonts w:hint="eastAsia" w:ascii="仿宋" w:hAnsi="仿宋" w:eastAsia="仿宋" w:cs="仿宋"/>
          <w:sz w:val="32"/>
          <w:szCs w:val="32"/>
        </w:rPr>
        <w:t>（1）</w:t>
      </w:r>
      <w:r>
        <w:rPr>
          <w:rFonts w:ascii="仿宋" w:hAnsi="仿宋" w:eastAsia="仿宋" w:cs="仿宋"/>
          <w:sz w:val="32"/>
          <w:szCs w:val="32"/>
        </w:rPr>
        <w:t>教育局</w:t>
      </w:r>
      <w:r>
        <w:rPr>
          <w:rFonts w:hint="eastAsia" w:ascii="仿宋" w:hAnsi="仿宋" w:eastAsia="仿宋" w:cs="仿宋"/>
          <w:sz w:val="32"/>
          <w:szCs w:val="32"/>
        </w:rPr>
        <w:t>3</w:t>
      </w:r>
      <w:r>
        <w:rPr>
          <w:rFonts w:hint="eastAsia" w:ascii="仿宋" w:hAnsi="仿宋" w:eastAsia="仿宋"/>
          <w:sz w:val="32"/>
          <w:szCs w:val="32"/>
        </w:rPr>
        <w:t>,</w:t>
      </w:r>
      <w:r>
        <w:rPr>
          <w:rFonts w:hint="eastAsia" w:ascii="仿宋" w:hAnsi="仿宋" w:eastAsia="仿宋" w:cs="仿宋"/>
          <w:sz w:val="32"/>
          <w:szCs w:val="32"/>
        </w:rPr>
        <w:t>221万元,项目安排</w:t>
      </w:r>
      <w:r>
        <w:rPr>
          <w:rFonts w:ascii="仿宋" w:hAnsi="仿宋" w:eastAsia="仿宋" w:cs="仿宋"/>
          <w:sz w:val="32"/>
          <w:szCs w:val="32"/>
        </w:rPr>
        <w:t>：</w:t>
      </w:r>
      <w:r>
        <w:rPr>
          <w:rFonts w:hint="eastAsia" w:ascii="仿宋" w:hAnsi="仿宋" w:eastAsia="仿宋"/>
          <w:sz w:val="32"/>
          <w:szCs w:val="32"/>
        </w:rPr>
        <w:t>永福中心学校教学楼建设项目</w:t>
      </w:r>
      <w:r>
        <w:rPr>
          <w:rFonts w:ascii="仿宋" w:hAnsi="仿宋" w:eastAsia="仿宋"/>
          <w:sz w:val="32"/>
          <w:szCs w:val="32"/>
        </w:rPr>
        <w:t>4</w:t>
      </w:r>
      <w:r>
        <w:rPr>
          <w:rFonts w:hint="eastAsia" w:ascii="仿宋" w:hAnsi="仿宋" w:eastAsia="仿宋"/>
          <w:sz w:val="32"/>
          <w:szCs w:val="32"/>
        </w:rPr>
        <w:t>50万元</w:t>
      </w:r>
      <w:r>
        <w:rPr>
          <w:rFonts w:ascii="仿宋" w:hAnsi="仿宋" w:eastAsia="仿宋"/>
          <w:sz w:val="32"/>
          <w:szCs w:val="32"/>
        </w:rPr>
        <w:t>、</w:t>
      </w:r>
      <w:r>
        <w:rPr>
          <w:rFonts w:hint="eastAsia" w:ascii="仿宋" w:hAnsi="仿宋" w:eastAsia="仿宋"/>
          <w:sz w:val="32"/>
          <w:szCs w:val="32"/>
        </w:rPr>
        <w:t>双洋中学塑胶运动场及水泥路硬化项目100元、新桥中心学校改扩建工程150万元</w:t>
      </w:r>
      <w:r>
        <w:rPr>
          <w:rFonts w:ascii="仿宋" w:hAnsi="仿宋" w:eastAsia="仿宋"/>
          <w:sz w:val="32"/>
          <w:szCs w:val="32"/>
        </w:rPr>
        <w:t>、</w:t>
      </w:r>
      <w:r>
        <w:rPr>
          <w:rFonts w:hint="eastAsia" w:ascii="仿宋" w:hAnsi="仿宋" w:eastAsia="仿宋"/>
          <w:sz w:val="32"/>
          <w:szCs w:val="32"/>
        </w:rPr>
        <w:t>职业中专学校卫生职业技能实训基地建设项目500万元</w:t>
      </w:r>
      <w:r>
        <w:rPr>
          <w:rFonts w:ascii="仿宋" w:hAnsi="仿宋" w:eastAsia="仿宋"/>
          <w:sz w:val="32"/>
          <w:szCs w:val="32"/>
        </w:rPr>
        <w:t>、</w:t>
      </w:r>
      <w:r>
        <w:rPr>
          <w:rFonts w:hint="eastAsia" w:ascii="仿宋" w:hAnsi="仿宋" w:eastAsia="仿宋"/>
          <w:sz w:val="32"/>
          <w:szCs w:val="32"/>
        </w:rPr>
        <w:t>教师进修学校提升改造项目250万元、城北小学建设项目600万元、二中改扩建项目471万元、城北幼儿园建设项目100万元、三中建设项目500万元、农村中小学运动场提升改造项目100万元</w:t>
      </w:r>
      <w:r>
        <w:rPr>
          <w:rFonts w:hint="eastAsia" w:ascii="仿宋_GB2312" w:eastAsia="仿宋_GB2312"/>
          <w:sz w:val="32"/>
          <w:szCs w:val="32"/>
        </w:rPr>
        <w:t>；</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住建局1,749万元,项目安排：漳平市城区基础设施补短板改扩建项目549万元、江滨路防洪提垮塌抢险工程100万元、万祥北路二期改造工程200万元、无障碍设施提升改造100万元、污水提质增效项目500万元、桂中路延伸段项目300万元；</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（3）文体局4,000万元，主要项目安排图书馆建设项目1,800万元、文化馆建设项目1,200万元、美术馆建设项目1,000万元。</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）团市委1,600万元，主要项目安排青少年宫（科技馆）。</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（5）交通局2,300万元，主要项目安排国省干线联六线漳平市芦芝至和平段公路工程工业园区及沿线市政配套设施提升工程1800万元、富兴路道路工程500万元。</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（6）卫健局110万元，主要项目安排基层医疗卫生服务机构能力提升工程。</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（7）数字办660万元</w:t>
      </w:r>
      <w:r>
        <w:rPr>
          <w:rFonts w:ascii="仿宋" w:hAnsi="仿宋" w:eastAsia="仿宋" w:cs="仿宋"/>
          <w:sz w:val="32"/>
          <w:szCs w:val="32"/>
        </w:rPr>
        <w:t>，</w:t>
      </w:r>
      <w:r>
        <w:rPr>
          <w:rFonts w:hint="eastAsia" w:ascii="仿宋" w:hAnsi="仿宋" w:eastAsia="仿宋" w:cs="仿宋"/>
          <w:sz w:val="32"/>
          <w:szCs w:val="32"/>
        </w:rPr>
        <w:t>主要</w:t>
      </w:r>
      <w:r>
        <w:rPr>
          <w:rFonts w:ascii="仿宋" w:hAnsi="仿宋" w:eastAsia="仿宋" w:cs="仿宋"/>
          <w:sz w:val="32"/>
          <w:szCs w:val="32"/>
        </w:rPr>
        <w:t>项目安排</w:t>
      </w:r>
      <w:r>
        <w:rPr>
          <w:rFonts w:hint="eastAsia" w:ascii="仿宋" w:hAnsi="仿宋" w:eastAsia="仿宋" w:cs="仿宋"/>
          <w:sz w:val="32"/>
          <w:szCs w:val="32"/>
        </w:rPr>
        <w:t>2022智慧数字漳平项目。</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（8）新桥镇300万元，主要项目安排新桥镇麦园至产坑三级公路工程。</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（9）永福</w:t>
      </w:r>
      <w:r>
        <w:rPr>
          <w:rFonts w:ascii="仿宋" w:hAnsi="仿宋" w:eastAsia="仿宋" w:cs="仿宋"/>
          <w:sz w:val="32"/>
          <w:szCs w:val="32"/>
        </w:rPr>
        <w:t>镇500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主要</w:t>
      </w:r>
      <w:r>
        <w:rPr>
          <w:rFonts w:ascii="仿宋" w:hAnsi="仿宋" w:eastAsia="仿宋" w:cs="仿宋"/>
          <w:sz w:val="32"/>
          <w:szCs w:val="32"/>
        </w:rPr>
        <w:t>项目安排</w:t>
      </w:r>
      <w:r>
        <w:rPr>
          <w:rFonts w:hint="eastAsia" w:ascii="仿宋" w:hAnsi="仿宋" w:eastAsia="仿宋" w:cs="仿宋"/>
          <w:sz w:val="32"/>
          <w:szCs w:val="32"/>
        </w:rPr>
        <w:t>溪滨路风貌品质提升项目</w:t>
      </w:r>
      <w:r>
        <w:rPr>
          <w:rFonts w:ascii="仿宋" w:hAnsi="仿宋" w:eastAsia="仿宋" w:cs="仿宋"/>
          <w:sz w:val="32"/>
          <w:szCs w:val="32"/>
        </w:rPr>
        <w:t>；</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新增专项债券68,724万元，具体使用项目如下：</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（1）工业园区管委会61,174万元，主要</w:t>
      </w:r>
      <w:r>
        <w:rPr>
          <w:rFonts w:ascii="仿宋" w:hAnsi="仿宋" w:eastAsia="仿宋" w:cs="仿宋"/>
          <w:sz w:val="32"/>
          <w:szCs w:val="32"/>
        </w:rPr>
        <w:t>项目安排</w:t>
      </w:r>
      <w:r>
        <w:rPr>
          <w:rFonts w:hint="eastAsia" w:ascii="仿宋" w:hAnsi="仿宋" w:eastAsia="仿宋" w:cs="仿宋"/>
          <w:sz w:val="32"/>
          <w:szCs w:val="32"/>
        </w:rPr>
        <w:t>工业园区循环经济试点园区基础设施建设项目33,5</w:t>
      </w:r>
      <w:r>
        <w:rPr>
          <w:rFonts w:ascii="仿宋" w:hAnsi="仿宋" w:eastAsia="仿宋" w:cs="仿宋"/>
          <w:sz w:val="32"/>
          <w:szCs w:val="32"/>
        </w:rPr>
        <w:t>00</w:t>
      </w:r>
      <w:r>
        <w:rPr>
          <w:rFonts w:hint="eastAsia" w:ascii="仿宋" w:hAnsi="仿宋" w:eastAsia="仿宋" w:cs="仿宋"/>
          <w:sz w:val="32"/>
          <w:szCs w:val="32"/>
        </w:rPr>
        <w:t>万元、工业园区创新创业基地建设项目4,668万元、工业园区基础设施建设项目23,006；</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（2）教育局550万元，主要</w:t>
      </w:r>
      <w:r>
        <w:rPr>
          <w:rFonts w:ascii="仿宋" w:hAnsi="仿宋" w:eastAsia="仿宋" w:cs="仿宋"/>
          <w:sz w:val="32"/>
          <w:szCs w:val="32"/>
        </w:rPr>
        <w:t>项目安排</w:t>
      </w:r>
      <w:r>
        <w:rPr>
          <w:rFonts w:hint="eastAsia" w:ascii="仿宋" w:hAnsi="仿宋" w:eastAsia="仿宋" w:cs="仿宋"/>
          <w:sz w:val="32"/>
          <w:szCs w:val="32"/>
        </w:rPr>
        <w:t>公办幼儿园补短板项目；</w:t>
      </w:r>
    </w:p>
    <w:p>
      <w:pPr>
        <w:pStyle w:val="11"/>
        <w:spacing w:before="0" w:beforeAutospacing="0" w:after="0" w:afterAutospacing="0" w:line="6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（3）卫健局7,000万元，主要</w:t>
      </w:r>
      <w:r>
        <w:rPr>
          <w:rFonts w:ascii="仿宋" w:hAnsi="仿宋" w:eastAsia="仿宋" w:cs="仿宋"/>
          <w:sz w:val="32"/>
          <w:szCs w:val="32"/>
        </w:rPr>
        <w:t>项目安排</w:t>
      </w:r>
      <w:r>
        <w:rPr>
          <w:rFonts w:hint="eastAsia" w:ascii="仿宋" w:hAnsi="仿宋" w:eastAsia="仿宋" w:cs="仿宋"/>
          <w:sz w:val="32"/>
          <w:szCs w:val="32"/>
        </w:rPr>
        <w:t>中医院整体迁建项目。</w:t>
      </w:r>
    </w:p>
    <w:p>
      <w:pPr>
        <w:pStyle w:val="10"/>
        <w:spacing w:line="600" w:lineRule="exact"/>
        <w:ind w:firstLine="592"/>
        <w:rPr>
          <w:rFonts w:ascii="黑体" w:hAnsi="黑体" w:eastAsia="黑体" w:cs="仿宋"/>
          <w:spacing w:val="-6"/>
        </w:rPr>
      </w:pPr>
      <w:r>
        <w:rPr>
          <w:rFonts w:hint="eastAsia" w:ascii="仿宋" w:hAnsi="仿宋" w:eastAsia="仿宋" w:cs="Arial"/>
          <w:b/>
          <w:szCs w:val="32"/>
        </w:rPr>
        <w:t>（二）</w:t>
      </w:r>
      <w:r>
        <w:rPr>
          <w:rFonts w:hint="eastAsia" w:ascii="黑体" w:hAnsi="黑体" w:eastAsia="黑体" w:cs="仿宋"/>
          <w:spacing w:val="-6"/>
        </w:rPr>
        <w:t>地方政府债务限额余额情况</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截至</w:t>
      </w:r>
      <w:r>
        <w:rPr>
          <w:rFonts w:ascii="仿宋" w:hAnsi="仿宋" w:eastAsia="仿宋" w:cs="仿宋"/>
          <w:sz w:val="32"/>
          <w:szCs w:val="32"/>
        </w:rPr>
        <w:t>202</w:t>
      </w:r>
      <w:r>
        <w:rPr>
          <w:rFonts w:hint="eastAsia" w:ascii="仿宋" w:hAnsi="仿宋" w:eastAsia="仿宋" w:cs="仿宋"/>
          <w:sz w:val="32"/>
          <w:szCs w:val="32"/>
        </w:rPr>
        <w:t>2年底，全市政府债务余额519,436万元，债务余额严格控制在省财政核定的限额545,244万元内。</w:t>
      </w:r>
    </w:p>
    <w:p>
      <w:pPr>
        <w:pStyle w:val="10"/>
        <w:spacing w:line="600" w:lineRule="exact"/>
        <w:ind w:firstLine="592"/>
        <w:rPr>
          <w:rFonts w:ascii="黑体" w:hAnsi="黑体" w:eastAsia="黑体" w:cs="仿宋"/>
          <w:spacing w:val="-6"/>
        </w:rPr>
      </w:pPr>
      <w:r>
        <w:rPr>
          <w:rFonts w:hint="eastAsia" w:ascii="仿宋" w:hAnsi="仿宋" w:eastAsia="仿宋" w:cs="Arial"/>
          <w:b/>
          <w:szCs w:val="32"/>
        </w:rPr>
        <w:t>（三</w:t>
      </w:r>
      <w:r>
        <w:rPr>
          <w:rFonts w:ascii="仿宋" w:hAnsi="仿宋" w:eastAsia="仿宋" w:cs="Arial"/>
          <w:b/>
          <w:szCs w:val="32"/>
        </w:rPr>
        <w:t>）</w:t>
      </w:r>
      <w:r>
        <w:rPr>
          <w:rFonts w:hint="eastAsia" w:ascii="黑体" w:hAnsi="黑体" w:eastAsia="黑体" w:cs="仿宋"/>
          <w:spacing w:val="-6"/>
        </w:rPr>
        <w:t>地方政府债券发行情况</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2年全市由省级代为发行地方政府债券93,466万元。</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按债券性质分：由省级代为发行新增债券83,164万元、由省级代为发行置换债券</w:t>
      </w:r>
      <w:r>
        <w:rPr>
          <w:rFonts w:ascii="仿宋" w:hAnsi="仿宋" w:eastAsia="仿宋" w:cs="仿宋"/>
          <w:sz w:val="32"/>
          <w:szCs w:val="32"/>
        </w:rPr>
        <w:t>0</w:t>
      </w:r>
      <w:r>
        <w:rPr>
          <w:rFonts w:hint="eastAsia" w:ascii="仿宋" w:hAnsi="仿宋" w:eastAsia="仿宋" w:cs="仿宋"/>
          <w:sz w:val="32"/>
          <w:szCs w:val="32"/>
        </w:rPr>
        <w:t>万元，由省级代为发行再融资债券10,302万元。</w:t>
      </w:r>
    </w:p>
    <w:p>
      <w:pPr>
        <w:pStyle w:val="10"/>
        <w:spacing w:line="600" w:lineRule="exact"/>
        <w:ind w:firstLine="643" w:firstLineChars="200"/>
        <w:rPr>
          <w:rFonts w:ascii="黑体" w:hAnsi="黑体" w:eastAsia="黑体" w:cs="仿宋"/>
          <w:spacing w:val="-6"/>
        </w:rPr>
      </w:pPr>
      <w:r>
        <w:rPr>
          <w:rFonts w:hint="eastAsia" w:ascii="仿宋" w:hAnsi="仿宋" w:eastAsia="仿宋" w:cs="Arial"/>
          <w:b/>
          <w:szCs w:val="32"/>
        </w:rPr>
        <w:t>（四</w:t>
      </w:r>
      <w:r>
        <w:rPr>
          <w:rFonts w:ascii="仿宋" w:hAnsi="仿宋" w:eastAsia="仿宋" w:cs="Arial"/>
          <w:b/>
          <w:szCs w:val="32"/>
        </w:rPr>
        <w:t>）</w:t>
      </w:r>
      <w:r>
        <w:rPr>
          <w:rFonts w:hint="eastAsia" w:ascii="黑体" w:hAnsi="黑体" w:eastAsia="黑体" w:cs="仿宋"/>
          <w:spacing w:val="-6"/>
        </w:rPr>
        <w:t>地方政府债券还本付息情况</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2年全市地方政府债券还本付息31,898万元，其中：债券还本15,850万元、一般债券</w:t>
      </w:r>
      <w:r>
        <w:rPr>
          <w:rFonts w:ascii="仿宋" w:hAnsi="仿宋" w:eastAsia="仿宋" w:cs="仿宋"/>
          <w:sz w:val="32"/>
          <w:szCs w:val="32"/>
        </w:rPr>
        <w:t>利息</w:t>
      </w:r>
      <w:r>
        <w:rPr>
          <w:rFonts w:hint="eastAsia" w:ascii="仿宋" w:hAnsi="仿宋" w:eastAsia="仿宋" w:cs="仿宋"/>
          <w:sz w:val="32"/>
          <w:szCs w:val="32"/>
        </w:rPr>
        <w:t>6719万元</w:t>
      </w:r>
      <w:r>
        <w:rPr>
          <w:rFonts w:ascii="仿宋" w:hAnsi="仿宋" w:eastAsia="仿宋" w:cs="仿宋"/>
          <w:sz w:val="32"/>
          <w:szCs w:val="32"/>
        </w:rPr>
        <w:t>，专项</w:t>
      </w:r>
      <w:r>
        <w:rPr>
          <w:rFonts w:hint="eastAsia" w:ascii="仿宋" w:hAnsi="仿宋" w:eastAsia="仿宋" w:cs="仿宋"/>
          <w:sz w:val="32"/>
          <w:szCs w:val="32"/>
        </w:rPr>
        <w:t>债券</w:t>
      </w:r>
      <w:r>
        <w:rPr>
          <w:rFonts w:ascii="仿宋" w:hAnsi="仿宋" w:eastAsia="仿宋" w:cs="仿宋"/>
          <w:sz w:val="32"/>
          <w:szCs w:val="32"/>
        </w:rPr>
        <w:t>利息</w:t>
      </w:r>
      <w:r>
        <w:rPr>
          <w:rFonts w:hint="eastAsia" w:ascii="仿宋" w:hAnsi="仿宋" w:eastAsia="仿宋" w:cs="仿宋"/>
          <w:sz w:val="32"/>
          <w:szCs w:val="32"/>
        </w:rPr>
        <w:t>9329万元。</w:t>
      </w:r>
    </w:p>
    <w:p>
      <w:pPr>
        <w:spacing w:line="360" w:lineRule="auto"/>
        <w:ind w:firstLine="630" w:firstLineChars="196"/>
        <w:rPr>
          <w:rFonts w:asciiTheme="majorEastAsia" w:hAnsiTheme="majorEastAsia" w:eastAsiaTheme="majorEastAsia"/>
          <w:b/>
          <w:sz w:val="32"/>
          <w:szCs w:val="32"/>
        </w:rPr>
      </w:pPr>
      <w:r>
        <w:rPr>
          <w:rFonts w:hint="eastAsia" w:asciiTheme="majorEastAsia" w:hAnsiTheme="majorEastAsia" w:eastAsiaTheme="majorEastAsia"/>
          <w:b/>
          <w:sz w:val="32"/>
          <w:szCs w:val="32"/>
        </w:rPr>
        <w:t>四、预算绩效开展情况</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我市扎实推进全面实施预算绩效管理各项工作，基本建成了全方位、全过程、全覆盖的预算绩效管理体系。</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对漳平市农业农村局（乡村振兴局）2022年度省级乡村振兴示范村补助县级配套项目、漳平市卫生健康局2022年度新冠肺炎疫情防控经费项目、 漳平市商务局外经贸扶持资金项目、中共漳平市委精神文明建设办公室文明城市创建活动经费项目、漳平市卫生健康局的漳平市中医院整体迁建项目等5个项目开展财政评价，评价资金8991.3万元，其中：等级“优”的3项，“良”的2项。评价结果均已向市人大报告并对社会公开（附件）。</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  漳平市2022年度财政支出项目重点绩效评价结果公开</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 漳平市农业农村局（乡村振兴局）2022年度省级乡村振</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兴示范村补助县级配套项目绩效评价</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2.漳平市卫生健康局2022年度新冠肺炎疫情防控经费项目绩效评价</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 漳平市商务局外经贸扶持资金项目绩效评价</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4. 中共漳平市委精神文明建设办公室文明城市创建活动经费项目绩效评价</w:t>
      </w:r>
    </w:p>
    <w:p>
      <w:pPr>
        <w:pStyle w:val="11"/>
        <w:spacing w:before="0" w:beforeAutospacing="0" w:after="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5.漳平市卫生健康局的漳平市中医院整体迁建项目绩效评价</w:t>
      </w:r>
    </w:p>
    <w:p>
      <w:pPr>
        <w:pStyle w:val="11"/>
        <w:spacing w:before="0" w:beforeAutospacing="0" w:after="0" w:afterAutospacing="0" w:line="600" w:lineRule="exact"/>
        <w:ind w:firstLine="640" w:firstLineChars="200"/>
        <w:jc w:val="both"/>
        <w:rPr>
          <w:rFonts w:ascii="仿宋" w:hAnsi="仿宋" w:eastAsia="仿宋" w:cs="仿宋"/>
          <w:sz w:val="32"/>
          <w:szCs w:val="32"/>
        </w:rPr>
      </w:pPr>
    </w:p>
    <w:sectPr>
      <w:type w:val="continuous"/>
      <w:pgSz w:w="11907" w:h="16840"/>
      <w:pgMar w:top="1440" w:right="1800" w:bottom="1440" w:left="1800"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JkN2Y0OWM2YWU4NjZhNzdhZTQ0ZTRmYjhmMWU5ODQifQ=="/>
  </w:docVars>
  <w:rsids>
    <w:rsidRoot w:val="007F2F53"/>
    <w:rsid w:val="00005B16"/>
    <w:rsid w:val="00010DE9"/>
    <w:rsid w:val="00022512"/>
    <w:rsid w:val="00023190"/>
    <w:rsid w:val="0003203F"/>
    <w:rsid w:val="000329D1"/>
    <w:rsid w:val="000350E5"/>
    <w:rsid w:val="000448E7"/>
    <w:rsid w:val="00044FEF"/>
    <w:rsid w:val="00045A5B"/>
    <w:rsid w:val="00060D17"/>
    <w:rsid w:val="0006714E"/>
    <w:rsid w:val="0007358C"/>
    <w:rsid w:val="00083775"/>
    <w:rsid w:val="00086AF3"/>
    <w:rsid w:val="000A1498"/>
    <w:rsid w:val="000A77E1"/>
    <w:rsid w:val="000C7776"/>
    <w:rsid w:val="000C794F"/>
    <w:rsid w:val="000F056A"/>
    <w:rsid w:val="00107AEF"/>
    <w:rsid w:val="00146780"/>
    <w:rsid w:val="00160437"/>
    <w:rsid w:val="00170380"/>
    <w:rsid w:val="00170A6C"/>
    <w:rsid w:val="00183B5A"/>
    <w:rsid w:val="00194882"/>
    <w:rsid w:val="00196DA5"/>
    <w:rsid w:val="001A36F7"/>
    <w:rsid w:val="001B2439"/>
    <w:rsid w:val="001B3708"/>
    <w:rsid w:val="001C54D4"/>
    <w:rsid w:val="001D3FB1"/>
    <w:rsid w:val="001D7D7B"/>
    <w:rsid w:val="001E36B4"/>
    <w:rsid w:val="001F404D"/>
    <w:rsid w:val="00211310"/>
    <w:rsid w:val="002235B0"/>
    <w:rsid w:val="00245E38"/>
    <w:rsid w:val="00246930"/>
    <w:rsid w:val="0025609A"/>
    <w:rsid w:val="002641D7"/>
    <w:rsid w:val="0026650E"/>
    <w:rsid w:val="00274504"/>
    <w:rsid w:val="00294D15"/>
    <w:rsid w:val="002A755C"/>
    <w:rsid w:val="002B78A1"/>
    <w:rsid w:val="002C1FE1"/>
    <w:rsid w:val="002C228A"/>
    <w:rsid w:val="002D3725"/>
    <w:rsid w:val="002E32AA"/>
    <w:rsid w:val="002F66E2"/>
    <w:rsid w:val="002F7FA4"/>
    <w:rsid w:val="00301434"/>
    <w:rsid w:val="0031358D"/>
    <w:rsid w:val="00314F35"/>
    <w:rsid w:val="003177B5"/>
    <w:rsid w:val="00320409"/>
    <w:rsid w:val="0033008A"/>
    <w:rsid w:val="00337602"/>
    <w:rsid w:val="00342797"/>
    <w:rsid w:val="00345CE0"/>
    <w:rsid w:val="00346A7B"/>
    <w:rsid w:val="003559D9"/>
    <w:rsid w:val="00356C06"/>
    <w:rsid w:val="0035798A"/>
    <w:rsid w:val="00362AD8"/>
    <w:rsid w:val="00366466"/>
    <w:rsid w:val="003851DA"/>
    <w:rsid w:val="00387578"/>
    <w:rsid w:val="0039164B"/>
    <w:rsid w:val="0039230F"/>
    <w:rsid w:val="003956FE"/>
    <w:rsid w:val="003973B6"/>
    <w:rsid w:val="003B081F"/>
    <w:rsid w:val="003C596C"/>
    <w:rsid w:val="003C6D50"/>
    <w:rsid w:val="003D2FCB"/>
    <w:rsid w:val="003D495F"/>
    <w:rsid w:val="003D6047"/>
    <w:rsid w:val="003D6EEA"/>
    <w:rsid w:val="003E3A32"/>
    <w:rsid w:val="003F1BDD"/>
    <w:rsid w:val="00401520"/>
    <w:rsid w:val="00406F85"/>
    <w:rsid w:val="0040750C"/>
    <w:rsid w:val="004101DD"/>
    <w:rsid w:val="00434250"/>
    <w:rsid w:val="004423BE"/>
    <w:rsid w:val="00442570"/>
    <w:rsid w:val="0044369A"/>
    <w:rsid w:val="00443E3C"/>
    <w:rsid w:val="004470EB"/>
    <w:rsid w:val="0044717D"/>
    <w:rsid w:val="00467F61"/>
    <w:rsid w:val="00471BFD"/>
    <w:rsid w:val="00471F31"/>
    <w:rsid w:val="00477049"/>
    <w:rsid w:val="00490087"/>
    <w:rsid w:val="004A6ECD"/>
    <w:rsid w:val="004A7672"/>
    <w:rsid w:val="004B542D"/>
    <w:rsid w:val="004B5D3F"/>
    <w:rsid w:val="004C0A0D"/>
    <w:rsid w:val="004C3D2E"/>
    <w:rsid w:val="004D354B"/>
    <w:rsid w:val="004E4EAB"/>
    <w:rsid w:val="004E660B"/>
    <w:rsid w:val="004F628D"/>
    <w:rsid w:val="00507F18"/>
    <w:rsid w:val="005214EB"/>
    <w:rsid w:val="00525CD4"/>
    <w:rsid w:val="005647F0"/>
    <w:rsid w:val="00567111"/>
    <w:rsid w:val="005757C3"/>
    <w:rsid w:val="00584A86"/>
    <w:rsid w:val="00596241"/>
    <w:rsid w:val="00597D18"/>
    <w:rsid w:val="005A2641"/>
    <w:rsid w:val="005A4C92"/>
    <w:rsid w:val="005B3CC3"/>
    <w:rsid w:val="005B587B"/>
    <w:rsid w:val="005C3EBF"/>
    <w:rsid w:val="005D08E5"/>
    <w:rsid w:val="0065051E"/>
    <w:rsid w:val="00654ACD"/>
    <w:rsid w:val="0065672D"/>
    <w:rsid w:val="00656DDD"/>
    <w:rsid w:val="006764F4"/>
    <w:rsid w:val="006A613D"/>
    <w:rsid w:val="006A7FFC"/>
    <w:rsid w:val="006B4D22"/>
    <w:rsid w:val="006B7353"/>
    <w:rsid w:val="006D2BB2"/>
    <w:rsid w:val="006E046E"/>
    <w:rsid w:val="006F05A4"/>
    <w:rsid w:val="00700C58"/>
    <w:rsid w:val="00707BB2"/>
    <w:rsid w:val="00710B73"/>
    <w:rsid w:val="00711AD3"/>
    <w:rsid w:val="007138C2"/>
    <w:rsid w:val="00717D03"/>
    <w:rsid w:val="00723225"/>
    <w:rsid w:val="00730657"/>
    <w:rsid w:val="007331F1"/>
    <w:rsid w:val="0073591D"/>
    <w:rsid w:val="00736031"/>
    <w:rsid w:val="00761D52"/>
    <w:rsid w:val="007658E3"/>
    <w:rsid w:val="00780D35"/>
    <w:rsid w:val="00782490"/>
    <w:rsid w:val="007843B1"/>
    <w:rsid w:val="0079316B"/>
    <w:rsid w:val="007972E9"/>
    <w:rsid w:val="007A02A4"/>
    <w:rsid w:val="007C1292"/>
    <w:rsid w:val="007C2348"/>
    <w:rsid w:val="007C261F"/>
    <w:rsid w:val="007D446C"/>
    <w:rsid w:val="007E1EEA"/>
    <w:rsid w:val="007E6B1D"/>
    <w:rsid w:val="007E7C15"/>
    <w:rsid w:val="007F2CB5"/>
    <w:rsid w:val="007F2F53"/>
    <w:rsid w:val="00805054"/>
    <w:rsid w:val="008103FE"/>
    <w:rsid w:val="00813A98"/>
    <w:rsid w:val="008343A8"/>
    <w:rsid w:val="00836A06"/>
    <w:rsid w:val="00850BA6"/>
    <w:rsid w:val="0085355A"/>
    <w:rsid w:val="00857203"/>
    <w:rsid w:val="0086208F"/>
    <w:rsid w:val="00871E60"/>
    <w:rsid w:val="00876003"/>
    <w:rsid w:val="00877C2E"/>
    <w:rsid w:val="0088607F"/>
    <w:rsid w:val="0089146F"/>
    <w:rsid w:val="008931B0"/>
    <w:rsid w:val="008942E5"/>
    <w:rsid w:val="008969C5"/>
    <w:rsid w:val="008B4EB3"/>
    <w:rsid w:val="008C1131"/>
    <w:rsid w:val="008D03AA"/>
    <w:rsid w:val="008D3217"/>
    <w:rsid w:val="008D5334"/>
    <w:rsid w:val="008E66CA"/>
    <w:rsid w:val="008E7390"/>
    <w:rsid w:val="008F2531"/>
    <w:rsid w:val="008F38AE"/>
    <w:rsid w:val="008F6D04"/>
    <w:rsid w:val="00901257"/>
    <w:rsid w:val="00904093"/>
    <w:rsid w:val="00912C52"/>
    <w:rsid w:val="009205A1"/>
    <w:rsid w:val="0092123C"/>
    <w:rsid w:val="009239C2"/>
    <w:rsid w:val="009374CE"/>
    <w:rsid w:val="00937AFA"/>
    <w:rsid w:val="00951255"/>
    <w:rsid w:val="00951382"/>
    <w:rsid w:val="00964461"/>
    <w:rsid w:val="00967556"/>
    <w:rsid w:val="009930EB"/>
    <w:rsid w:val="009A0745"/>
    <w:rsid w:val="009A2E6A"/>
    <w:rsid w:val="009A5AAD"/>
    <w:rsid w:val="009A5B15"/>
    <w:rsid w:val="009B50DE"/>
    <w:rsid w:val="009B5287"/>
    <w:rsid w:val="009C1D52"/>
    <w:rsid w:val="009C60D4"/>
    <w:rsid w:val="009C677E"/>
    <w:rsid w:val="009D06B3"/>
    <w:rsid w:val="009D49CA"/>
    <w:rsid w:val="009E6E98"/>
    <w:rsid w:val="009F0CB8"/>
    <w:rsid w:val="00A06789"/>
    <w:rsid w:val="00A11DEB"/>
    <w:rsid w:val="00A11F71"/>
    <w:rsid w:val="00A1374B"/>
    <w:rsid w:val="00A23354"/>
    <w:rsid w:val="00A313C3"/>
    <w:rsid w:val="00A42DA8"/>
    <w:rsid w:val="00A450A0"/>
    <w:rsid w:val="00A5009F"/>
    <w:rsid w:val="00A53722"/>
    <w:rsid w:val="00A64072"/>
    <w:rsid w:val="00A65AA8"/>
    <w:rsid w:val="00A6783B"/>
    <w:rsid w:val="00A67D24"/>
    <w:rsid w:val="00A73A28"/>
    <w:rsid w:val="00A74DDD"/>
    <w:rsid w:val="00A77605"/>
    <w:rsid w:val="00A97E79"/>
    <w:rsid w:val="00AA0481"/>
    <w:rsid w:val="00AA108F"/>
    <w:rsid w:val="00AA71AF"/>
    <w:rsid w:val="00AA7566"/>
    <w:rsid w:val="00AB5360"/>
    <w:rsid w:val="00AB54CB"/>
    <w:rsid w:val="00AD06C0"/>
    <w:rsid w:val="00AD213F"/>
    <w:rsid w:val="00AD4049"/>
    <w:rsid w:val="00AD737B"/>
    <w:rsid w:val="00B02EA8"/>
    <w:rsid w:val="00B16D25"/>
    <w:rsid w:val="00B4290C"/>
    <w:rsid w:val="00B5775F"/>
    <w:rsid w:val="00B65081"/>
    <w:rsid w:val="00B91533"/>
    <w:rsid w:val="00B9171A"/>
    <w:rsid w:val="00B96BEC"/>
    <w:rsid w:val="00BA01CC"/>
    <w:rsid w:val="00BA1D6F"/>
    <w:rsid w:val="00BB077A"/>
    <w:rsid w:val="00BD21C7"/>
    <w:rsid w:val="00BD6057"/>
    <w:rsid w:val="00BE49B2"/>
    <w:rsid w:val="00C10D87"/>
    <w:rsid w:val="00C13540"/>
    <w:rsid w:val="00C167B2"/>
    <w:rsid w:val="00C169E9"/>
    <w:rsid w:val="00C25555"/>
    <w:rsid w:val="00C25E98"/>
    <w:rsid w:val="00C358F9"/>
    <w:rsid w:val="00C41282"/>
    <w:rsid w:val="00C43688"/>
    <w:rsid w:val="00C51A22"/>
    <w:rsid w:val="00C57D99"/>
    <w:rsid w:val="00C6612F"/>
    <w:rsid w:val="00C76637"/>
    <w:rsid w:val="00C85CCC"/>
    <w:rsid w:val="00C91328"/>
    <w:rsid w:val="00C978B0"/>
    <w:rsid w:val="00CA3A85"/>
    <w:rsid w:val="00CA5A6D"/>
    <w:rsid w:val="00CD48A2"/>
    <w:rsid w:val="00CD6D5D"/>
    <w:rsid w:val="00CE522B"/>
    <w:rsid w:val="00CF506A"/>
    <w:rsid w:val="00D00441"/>
    <w:rsid w:val="00D043A7"/>
    <w:rsid w:val="00D35D97"/>
    <w:rsid w:val="00D35E6D"/>
    <w:rsid w:val="00D44605"/>
    <w:rsid w:val="00D63780"/>
    <w:rsid w:val="00D65A64"/>
    <w:rsid w:val="00D934BE"/>
    <w:rsid w:val="00DA0A73"/>
    <w:rsid w:val="00DB4969"/>
    <w:rsid w:val="00DB6A66"/>
    <w:rsid w:val="00DC0785"/>
    <w:rsid w:val="00DC17D7"/>
    <w:rsid w:val="00DD2C09"/>
    <w:rsid w:val="00DD4CDC"/>
    <w:rsid w:val="00DD71A4"/>
    <w:rsid w:val="00DD7ACF"/>
    <w:rsid w:val="00DE6A88"/>
    <w:rsid w:val="00DF2486"/>
    <w:rsid w:val="00DF4D4D"/>
    <w:rsid w:val="00DF7712"/>
    <w:rsid w:val="00E0327F"/>
    <w:rsid w:val="00E378E4"/>
    <w:rsid w:val="00E47899"/>
    <w:rsid w:val="00E62DDE"/>
    <w:rsid w:val="00E67041"/>
    <w:rsid w:val="00E6765C"/>
    <w:rsid w:val="00E71E92"/>
    <w:rsid w:val="00E845AA"/>
    <w:rsid w:val="00E918D5"/>
    <w:rsid w:val="00E97B88"/>
    <w:rsid w:val="00EA75AE"/>
    <w:rsid w:val="00EA7F18"/>
    <w:rsid w:val="00EB6C42"/>
    <w:rsid w:val="00EC0A5A"/>
    <w:rsid w:val="00EC4675"/>
    <w:rsid w:val="00EC7B18"/>
    <w:rsid w:val="00EE4B57"/>
    <w:rsid w:val="00EE7D3F"/>
    <w:rsid w:val="00F012E3"/>
    <w:rsid w:val="00F04CFB"/>
    <w:rsid w:val="00F0665E"/>
    <w:rsid w:val="00F12C7A"/>
    <w:rsid w:val="00F21CB7"/>
    <w:rsid w:val="00F55BAE"/>
    <w:rsid w:val="00F600A5"/>
    <w:rsid w:val="00F6402A"/>
    <w:rsid w:val="00F64893"/>
    <w:rsid w:val="00F660CB"/>
    <w:rsid w:val="00F666E2"/>
    <w:rsid w:val="00F712BE"/>
    <w:rsid w:val="00F7348F"/>
    <w:rsid w:val="00F74B51"/>
    <w:rsid w:val="00F74D33"/>
    <w:rsid w:val="00F779DD"/>
    <w:rsid w:val="00F824CE"/>
    <w:rsid w:val="00F83EBB"/>
    <w:rsid w:val="00FA3B75"/>
    <w:rsid w:val="00FA4F1F"/>
    <w:rsid w:val="00FA722C"/>
    <w:rsid w:val="00FB2A39"/>
    <w:rsid w:val="00FB3775"/>
    <w:rsid w:val="00FC226C"/>
    <w:rsid w:val="00FD24FD"/>
    <w:rsid w:val="00FD4A29"/>
    <w:rsid w:val="00FE7E9C"/>
    <w:rsid w:val="00FF2FAA"/>
    <w:rsid w:val="00FF4506"/>
    <w:rsid w:val="00FF7D2C"/>
    <w:rsid w:val="039D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styleId="9">
    <w:name w:val="List Paragraph"/>
    <w:basedOn w:val="1"/>
    <w:qFormat/>
    <w:uiPriority w:val="34"/>
    <w:pPr>
      <w:ind w:firstLine="420" w:firstLineChars="200"/>
    </w:pPr>
  </w:style>
  <w:style w:type="paragraph" w:customStyle="1" w:styleId="10">
    <w:name w:val="内容"/>
    <w:basedOn w:val="1"/>
    <w:qFormat/>
    <w:uiPriority w:val="0"/>
    <w:pPr>
      <w:snapToGrid w:val="0"/>
      <w:spacing w:line="640" w:lineRule="exact"/>
      <w:ind w:firstLine="640"/>
    </w:pPr>
    <w:rPr>
      <w:rFonts w:ascii="Calibri" w:hAnsi="楷体" w:eastAsia="宋体" w:cs="Times New Roman"/>
      <w:snapToGrid w:val="0"/>
      <w:kern w:val="0"/>
      <w:sz w:val="32"/>
      <w:szCs w:val="24"/>
    </w:rPr>
  </w:style>
  <w:style w:type="paragraph" w:customStyle="1" w:styleId="11">
    <w:name w:val="p0"/>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2AFE-37D8-49CD-8D57-051A6F4D8E68}">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1296</Words>
  <Characters>7390</Characters>
  <Lines>61</Lines>
  <Paragraphs>17</Paragraphs>
  <TotalTime>5309</TotalTime>
  <ScaleCrop>false</ScaleCrop>
  <LinksUpToDate>false</LinksUpToDate>
  <CharactersWithSpaces>8669</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2020-08-01T11:48:00Z</dcterms:created>
  <dc:creator>admin</dc:creator>
  <cp:lastModifiedBy>Administrator</cp:lastModifiedBy>
  <cp:lastPrinted>2021-07-16T07:15:00Z</cp:lastPrinted>
  <dcterms:modified xsi:type="dcterms:W3CDTF">2023-08-18T03:53:13Z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54B04645671442AF97B892660026D352_12</vt:lpwstr>
  </property>
</Properties>
</file>