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2025</w:t>
      </w:r>
      <w:r>
        <w:rPr>
          <w:rFonts w:hint="eastAsia" w:ascii="方正小标宋简体" w:eastAsia="方正小标宋简体"/>
          <w:sz w:val="84"/>
          <w:szCs w:val="84"/>
        </w:rPr>
        <w:t>年度</w:t>
      </w: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漳平市养老服务中心单位</w:t>
      </w:r>
      <w:r>
        <w:rPr>
          <w:rFonts w:hint="eastAsia" w:ascii="方正小标宋简体" w:eastAsia="方正小标宋简体"/>
          <w:sz w:val="84"/>
          <w:szCs w:val="84"/>
        </w:rPr>
        <w:t>预算</w:t>
      </w:r>
    </w:p>
    <w:p>
      <w:pPr>
        <w:widowControl/>
        <w:rPr>
          <w:sz w:val="84"/>
          <w:szCs w:val="84"/>
        </w:rPr>
      </w:pPr>
      <w:r>
        <w:rPr>
          <w:sz w:val="84"/>
          <w:szCs w:val="84"/>
        </w:rPr>
        <w:br w:type="page"/>
      </w:r>
    </w:p>
    <w:p>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pPr>
        <w:pStyle w:val="2"/>
        <w:rPr>
          <w:rFonts w:hint="default" w:ascii="仿宋" w:hAnsi="仿宋" w:eastAsia="仿宋"/>
          <w:b/>
          <w:sz w:val="36"/>
          <w:lang w:val="en-US"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单位概况</w:t>
      </w:r>
      <w:r>
        <w:rPr>
          <w:rFonts w:ascii="仿宋" w:hAnsi="仿宋" w:eastAsia="仿宋"/>
          <w:b/>
          <w:sz w:val="36"/>
          <w:lang w:eastAsia="zh-CN"/>
        </w:rPr>
        <w:t>…………………………………</w:t>
      </w:r>
      <w:r>
        <w:rPr>
          <w:rFonts w:hint="eastAsia" w:ascii="仿宋" w:hAnsi="仿宋" w:eastAsia="仿宋"/>
          <w:b/>
          <w:sz w:val="36"/>
          <w:lang w:val="en-US" w:eastAsia="zh-CN"/>
        </w:rPr>
        <w:t>4</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b/>
          <w:sz w:val="36"/>
          <w:lang w:eastAsia="zh-CN"/>
        </w:rPr>
        <w:t>…………………………………</w:t>
      </w:r>
      <w:r>
        <w:rPr>
          <w:rFonts w:hint="eastAsia" w:ascii="仿宋" w:hAnsi="仿宋" w:eastAsia="仿宋"/>
          <w:b/>
          <w:sz w:val="36"/>
          <w:lang w:val="en-US" w:eastAsia="zh-CN"/>
        </w:rPr>
        <w:t>5</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5</w:t>
      </w:r>
    </w:p>
    <w:p>
      <w:pPr>
        <w:pStyle w:val="2"/>
        <w:ind w:left="361" w:hanging="361" w:hangingChars="100"/>
        <w:rPr>
          <w:rFonts w:hint="default" w:ascii="仿宋" w:hAnsi="仿宋" w:eastAsia="仿宋"/>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val="en-US" w:eastAsia="zh-CN"/>
        </w:rPr>
        <w:t>2025</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b/>
          <w:sz w:val="36"/>
          <w:lang w:val="en-US" w:eastAsia="zh-CN"/>
        </w:rPr>
        <w:t>7</w:t>
      </w: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8</w:t>
      </w:r>
    </w:p>
    <w:p>
      <w:pPr>
        <w:pStyle w:val="2"/>
        <w:ind w:left="359" w:leftChars="171" w:firstLine="0" w:firstLineChars="0"/>
        <w:rPr>
          <w:rFonts w:hint="eastAsia"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10</w:t>
      </w: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11</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11</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12</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13</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14</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15</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15</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19</w:t>
      </w:r>
    </w:p>
    <w:p>
      <w:pPr>
        <w:widowControl/>
        <w:rPr>
          <w:rFonts w:hint="default" w:ascii="仿宋" w:hAnsi="仿宋" w:eastAsia="仿宋"/>
          <w:b/>
          <w:sz w:val="40"/>
          <w:lang w:val="en-US" w:eastAsia="zh-CN"/>
        </w:rPr>
      </w:pPr>
      <w:r>
        <w:rPr>
          <w:rFonts w:hint="eastAsia" w:ascii="仿宋" w:hAnsi="仿宋" w:eastAsia="仿宋"/>
          <w:b/>
          <w:sz w:val="40"/>
        </w:rPr>
        <w:t>第三部分</w:t>
      </w:r>
      <w:r>
        <w:rPr>
          <w:rFonts w:ascii="仿宋" w:hAnsi="仿宋" w:eastAsia="仿宋"/>
          <w:b/>
          <w:sz w:val="40"/>
        </w:rPr>
        <w:t xml:space="preserve"> </w:t>
      </w:r>
      <w:r>
        <w:rPr>
          <w:rFonts w:hint="eastAsia" w:ascii="仿宋" w:hAnsi="仿宋" w:eastAsia="仿宋"/>
          <w:b/>
          <w:sz w:val="40"/>
          <w:lang w:val="en-US" w:eastAsia="zh-CN"/>
        </w:rPr>
        <w:t>2025</w:t>
      </w:r>
      <w:r>
        <w:rPr>
          <w:rFonts w:hint="eastAsia" w:ascii="仿宋" w:hAnsi="仿宋" w:eastAsia="仿宋"/>
          <w:b/>
          <w:sz w:val="40"/>
        </w:rPr>
        <w:t>年度</w:t>
      </w:r>
      <w:r>
        <w:rPr>
          <w:rFonts w:hint="eastAsia" w:ascii="仿宋" w:hAnsi="仿宋" w:eastAsia="仿宋"/>
          <w:b/>
          <w:sz w:val="40"/>
          <w:lang w:eastAsia="zh-CN"/>
        </w:rPr>
        <w:t>单位</w:t>
      </w:r>
      <w:r>
        <w:rPr>
          <w:rFonts w:hint="eastAsia" w:ascii="仿宋" w:hAnsi="仿宋" w:eastAsia="仿宋"/>
          <w:b/>
          <w:sz w:val="40"/>
        </w:rPr>
        <w:t>预算情况说明</w:t>
      </w:r>
      <w:r>
        <w:rPr>
          <w:rFonts w:ascii="仿宋" w:hAnsi="仿宋" w:eastAsia="仿宋"/>
          <w:sz w:val="36"/>
        </w:rPr>
        <w:t>………</w:t>
      </w:r>
      <w:r>
        <w:rPr>
          <w:rFonts w:hint="eastAsia" w:ascii="仿宋" w:hAnsi="仿宋" w:eastAsia="仿宋"/>
          <w:sz w:val="36"/>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21</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21</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bookmarkStart w:id="0" w:name="_GoBack"/>
      <w:bookmarkEnd w:id="0"/>
      <w:r>
        <w:rPr>
          <w:rFonts w:hint="eastAsia" w:ascii="仿宋" w:hAnsi="仿宋" w:eastAsia="仿宋" w:cs="Times New Roman"/>
          <w:kern w:val="0"/>
          <w:sz w:val="36"/>
          <w:szCs w:val="20"/>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pPr>
        <w:pStyle w:val="2"/>
        <w:spacing w:before="3"/>
        <w:rPr>
          <w:rFonts w:hint="default" w:ascii="仿宋" w:hAnsi="仿宋" w:eastAsia="仿宋"/>
          <w:sz w:val="26"/>
          <w:lang w:val="en-US" w:eastAsia="zh-CN"/>
        </w:rPr>
      </w:pPr>
      <w:r>
        <w:rPr>
          <w:rFonts w:hint="eastAsia" w:ascii="仿宋" w:hAnsi="仿宋" w:eastAsia="仿宋"/>
          <w:b/>
          <w:sz w:val="40"/>
          <w:lang w:eastAsia="zh-CN"/>
        </w:rPr>
        <w:t>第四部分</w:t>
      </w:r>
      <w:r>
        <w:rPr>
          <w:rFonts w:ascii="仿宋" w:hAnsi="仿宋" w:eastAsia="仿宋"/>
          <w:b/>
          <w:sz w:val="40"/>
          <w:lang w:eastAsia="zh-CN"/>
        </w:rPr>
        <w:t xml:space="preserve"> </w:t>
      </w:r>
      <w:r>
        <w:rPr>
          <w:rFonts w:hint="eastAsia" w:ascii="仿宋" w:hAnsi="仿宋" w:eastAsia="仿宋"/>
          <w:b/>
          <w:sz w:val="40"/>
          <w:lang w:val="en-US" w:eastAsia="zh-CN"/>
        </w:rPr>
        <w:t xml:space="preserve"> </w:t>
      </w:r>
      <w:r>
        <w:rPr>
          <w:rFonts w:hint="eastAsia" w:ascii="仿宋" w:hAnsi="仿宋" w:eastAsia="仿宋"/>
          <w:b/>
          <w:sz w:val="40"/>
          <w:lang w:eastAsia="zh-CN"/>
        </w:rPr>
        <w:t>名词解释</w:t>
      </w:r>
      <w:r>
        <w:rPr>
          <w:rFonts w:ascii="仿宋" w:hAnsi="仿宋" w:eastAsia="仿宋"/>
          <w:sz w:val="36"/>
          <w:lang w:eastAsia="zh-CN"/>
        </w:rPr>
        <w:t>………………………………</w:t>
      </w:r>
      <w:r>
        <w:rPr>
          <w:rFonts w:hint="eastAsia" w:ascii="仿宋" w:hAnsi="仿宋" w:eastAsia="仿宋"/>
          <w:sz w:val="36"/>
          <w:lang w:val="en-US" w:eastAsia="zh-CN"/>
        </w:rPr>
        <w:t>25</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eastAsia="zh-CN"/>
        </w:rPr>
        <w:t>单位概况</w:t>
      </w:r>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漳平市养老服务中心</w:t>
      </w:r>
      <w:r>
        <w:rPr>
          <w:rFonts w:hint="eastAsia" w:ascii="仿宋" w:hAnsi="仿宋" w:eastAsia="仿宋"/>
          <w:sz w:val="32"/>
          <w:szCs w:val="32"/>
        </w:rPr>
        <w:t>的主要职责是：</w:t>
      </w:r>
      <w:r>
        <w:rPr>
          <w:rFonts w:hint="eastAsia" w:ascii="仿宋" w:hAnsi="仿宋" w:eastAsia="仿宋" w:cs="仿宋"/>
          <w:sz w:val="30"/>
          <w:szCs w:val="30"/>
        </w:rPr>
        <w:t>为老年人、为孤残儿童服务，规范</w:t>
      </w:r>
      <w:r>
        <w:rPr>
          <w:rFonts w:hint="eastAsia" w:ascii="仿宋" w:hAnsi="仿宋" w:eastAsia="仿宋" w:cs="仿宋"/>
          <w:sz w:val="30"/>
          <w:szCs w:val="30"/>
          <w:lang w:eastAsia="zh-CN"/>
        </w:rPr>
        <w:t>养老</w:t>
      </w:r>
      <w:r>
        <w:rPr>
          <w:rFonts w:hint="eastAsia" w:ascii="仿宋" w:hAnsi="仿宋" w:eastAsia="仿宋" w:cs="仿宋"/>
          <w:sz w:val="30"/>
          <w:szCs w:val="30"/>
        </w:rPr>
        <w:t>服务市场，提供</w:t>
      </w:r>
      <w:r>
        <w:rPr>
          <w:rFonts w:hint="eastAsia" w:ascii="仿宋" w:hAnsi="仿宋" w:eastAsia="仿宋" w:cs="仿宋"/>
          <w:sz w:val="30"/>
          <w:szCs w:val="30"/>
          <w:lang w:eastAsia="zh-CN"/>
        </w:rPr>
        <w:t>相关</w:t>
      </w:r>
      <w:r>
        <w:rPr>
          <w:rFonts w:hint="eastAsia" w:ascii="仿宋" w:hAnsi="仿宋" w:eastAsia="仿宋" w:cs="仿宋"/>
          <w:sz w:val="30"/>
          <w:szCs w:val="30"/>
        </w:rPr>
        <w:t>政策、法律咨询工作</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cs="仿宋_GB2312"/>
          <w:sz w:val="32"/>
          <w:szCs w:val="32"/>
        </w:rPr>
        <w:t>负责特困人员、重残“三无”老人养护、医疗康复</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cs="仿宋_GB2312"/>
          <w:sz w:val="32"/>
          <w:szCs w:val="32"/>
        </w:rPr>
        <w:t>负责代养本市无依无靠的离退休孤老及部分自费寄养老人，提供生活护理等服务</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cs="仿宋_GB2312"/>
          <w:sz w:val="32"/>
          <w:szCs w:val="32"/>
        </w:rPr>
        <w:t>接收全市范围经公安</w:t>
      </w:r>
      <w:r>
        <w:rPr>
          <w:rFonts w:hint="eastAsia" w:ascii="仿宋" w:hAnsi="仿宋" w:eastAsia="仿宋" w:cs="仿宋_GB2312"/>
          <w:sz w:val="32"/>
          <w:szCs w:val="32"/>
          <w:lang w:eastAsia="zh-CN"/>
        </w:rPr>
        <w:t>单位</w:t>
      </w:r>
      <w:r>
        <w:rPr>
          <w:rFonts w:hint="eastAsia" w:ascii="仿宋" w:hAnsi="仿宋" w:eastAsia="仿宋" w:cs="仿宋_GB2312"/>
          <w:sz w:val="32"/>
          <w:szCs w:val="32"/>
        </w:rPr>
        <w:t>身份确认弃婴、弃儿，承担收养孤儿、弃婴（儿）、残疾儿童的养护、医疗和教育等工作</w:t>
      </w:r>
      <w:r>
        <w:rPr>
          <w:rFonts w:hint="eastAsia" w:ascii="仿宋" w:hAnsi="仿宋" w:eastAsia="仿宋"/>
          <w:sz w:val="32"/>
          <w:szCs w:val="32"/>
        </w:rPr>
        <w:t>。</w:t>
      </w:r>
    </w:p>
    <w:p>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rPr>
        <w:t>无下属单位。</w:t>
      </w:r>
    </w:p>
    <w:p>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eastAsia="zh-CN"/>
        </w:rPr>
        <w:t>漳平市养老服务中心</w:t>
      </w:r>
      <w:r>
        <w:rPr>
          <w:rFonts w:hint="eastAsia" w:ascii="仿宋" w:hAnsi="仿宋" w:eastAsia="仿宋"/>
          <w:sz w:val="32"/>
          <w:szCs w:val="32"/>
        </w:rPr>
        <w:t>主要任务是：</w:t>
      </w:r>
      <w:r>
        <w:rPr>
          <w:rFonts w:hint="eastAsia" w:ascii="仿宋" w:hAnsi="仿宋" w:eastAsia="仿宋" w:cs="仿宋"/>
          <w:sz w:val="30"/>
          <w:szCs w:val="30"/>
        </w:rPr>
        <w:t>立足为社会、政府、为养老服务机构、为老年人、为孤残儿童服务，关注孤残儿童的健康成长，</w:t>
      </w:r>
      <w:r>
        <w:rPr>
          <w:rFonts w:hint="eastAsia" w:ascii="仿宋" w:hAnsi="仿宋" w:eastAsia="仿宋" w:cs="仿宋"/>
          <w:sz w:val="30"/>
          <w:szCs w:val="30"/>
          <w:lang w:eastAsia="zh-CN"/>
        </w:rPr>
        <w:t>为</w:t>
      </w:r>
      <w:r>
        <w:rPr>
          <w:rFonts w:hint="eastAsia" w:ascii="仿宋" w:hAnsi="仿宋" w:eastAsia="仿宋" w:cs="仿宋"/>
          <w:sz w:val="30"/>
          <w:szCs w:val="30"/>
        </w:rPr>
        <w:t>全市养老和孤残儿童事业的健康发展服务</w:t>
      </w:r>
      <w:r>
        <w:rPr>
          <w:rFonts w:hint="eastAsia" w:ascii="仿宋" w:hAnsi="仿宋" w:eastAsia="仿宋"/>
          <w:sz w:val="32"/>
          <w:szCs w:val="32"/>
        </w:rPr>
        <w:t>。围绕上述任务，重点抓好以下工作：</w:t>
      </w:r>
    </w:p>
    <w:p>
      <w:pPr>
        <w:ind w:firstLine="640" w:firstLineChars="200"/>
        <w:rPr>
          <w:rFonts w:hint="eastAsia" w:ascii="仿宋" w:hAnsi="仿宋" w:eastAsia="仿宋" w:cs="仿宋"/>
          <w:sz w:val="30"/>
          <w:szCs w:val="30"/>
        </w:rPr>
      </w:pPr>
      <w:r>
        <w:rPr>
          <w:rFonts w:hint="eastAsia" w:ascii="仿宋" w:hAnsi="仿宋" w:eastAsia="仿宋"/>
          <w:sz w:val="32"/>
          <w:szCs w:val="32"/>
        </w:rPr>
        <w:t>（一）</w:t>
      </w:r>
      <w:r>
        <w:rPr>
          <w:rFonts w:hint="eastAsia" w:ascii="仿宋" w:hAnsi="仿宋" w:eastAsia="仿宋" w:cs="仿宋"/>
          <w:sz w:val="30"/>
          <w:szCs w:val="30"/>
        </w:rPr>
        <w:t>依法开展未成年人救助保护工作，着力构建“中心+医院+第三方服务”的未成年人救助保护模式</w:t>
      </w:r>
      <w:r>
        <w:rPr>
          <w:rFonts w:hint="eastAsia" w:ascii="仿宋" w:hAnsi="仿宋" w:eastAsia="仿宋" w:cs="仿宋"/>
          <w:sz w:val="30"/>
          <w:szCs w:val="30"/>
          <w:lang w:eastAsia="zh-CN"/>
        </w:rPr>
        <w:t>，</w:t>
      </w:r>
      <w:r>
        <w:rPr>
          <w:rFonts w:hint="eastAsia" w:ascii="仿宋" w:hAnsi="仿宋" w:eastAsia="仿宋" w:cs="仿宋"/>
          <w:sz w:val="30"/>
          <w:szCs w:val="30"/>
        </w:rPr>
        <w:t>开拓创新</w:t>
      </w:r>
      <w:r>
        <w:rPr>
          <w:rFonts w:hint="eastAsia" w:ascii="仿宋" w:hAnsi="仿宋" w:eastAsia="仿宋" w:cs="仿宋"/>
          <w:sz w:val="30"/>
          <w:szCs w:val="30"/>
          <w:lang w:eastAsia="zh-CN"/>
        </w:rPr>
        <w:t>，</w:t>
      </w:r>
      <w:r>
        <w:rPr>
          <w:rFonts w:hint="eastAsia" w:ascii="仿宋" w:hAnsi="仿宋" w:eastAsia="仿宋" w:cs="仿宋"/>
          <w:sz w:val="30"/>
          <w:szCs w:val="30"/>
        </w:rPr>
        <w:t>迎合市场</w:t>
      </w:r>
      <w:r>
        <w:rPr>
          <w:rFonts w:hint="eastAsia" w:ascii="仿宋" w:hAnsi="仿宋" w:eastAsia="仿宋" w:cs="仿宋"/>
          <w:sz w:val="30"/>
          <w:szCs w:val="30"/>
          <w:lang w:eastAsia="zh-CN"/>
        </w:rPr>
        <w:t>规律，</w:t>
      </w:r>
      <w:r>
        <w:rPr>
          <w:rFonts w:hint="eastAsia" w:ascii="仿宋" w:hAnsi="仿宋" w:eastAsia="仿宋" w:cs="仿宋"/>
          <w:sz w:val="30"/>
          <w:szCs w:val="30"/>
        </w:rPr>
        <w:t>做大做强</w:t>
      </w:r>
      <w:r>
        <w:rPr>
          <w:rFonts w:hint="eastAsia" w:ascii="仿宋" w:hAnsi="仿宋" w:eastAsia="仿宋" w:cs="仿宋"/>
          <w:sz w:val="30"/>
          <w:szCs w:val="30"/>
          <w:lang w:eastAsia="zh-CN"/>
        </w:rPr>
        <w:t>做优</w:t>
      </w:r>
      <w:r>
        <w:rPr>
          <w:rFonts w:hint="eastAsia" w:ascii="仿宋" w:hAnsi="仿宋" w:eastAsia="仿宋" w:cs="仿宋"/>
          <w:sz w:val="30"/>
          <w:szCs w:val="30"/>
        </w:rPr>
        <w:t>，切实维护未成年人的合法权益，促进未成年人的健康成长。</w:t>
      </w:r>
    </w:p>
    <w:p>
      <w:pPr>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cs="仿宋"/>
          <w:sz w:val="30"/>
          <w:szCs w:val="30"/>
        </w:rPr>
        <w:t>积极</w:t>
      </w:r>
      <w:r>
        <w:rPr>
          <w:rFonts w:hint="eastAsia" w:ascii="仿宋" w:hAnsi="仿宋" w:eastAsia="仿宋" w:cs="仿宋"/>
          <w:sz w:val="30"/>
          <w:szCs w:val="30"/>
          <w:lang w:eastAsia="zh-CN"/>
        </w:rPr>
        <w:t>多渠道</w:t>
      </w:r>
      <w:r>
        <w:rPr>
          <w:rFonts w:hint="eastAsia" w:ascii="仿宋" w:hAnsi="仿宋" w:eastAsia="仿宋" w:cs="仿宋"/>
          <w:sz w:val="30"/>
          <w:szCs w:val="30"/>
        </w:rPr>
        <w:t>向上争取院民服务工作经费，立足为社会、政府、为养老服务机构、为老年人、为孤残儿童服务，关注孤残儿童的健康成长，重点加强业务学习培训、开展诚信服务，规范服务市场，提供政策、法律咨询等工作，推动全市养老服务和孤残儿童事业的健康发展</w:t>
      </w:r>
      <w:r>
        <w:rPr>
          <w:rFonts w:hint="eastAsia" w:ascii="仿宋" w:hAnsi="仿宋" w:eastAsia="仿宋"/>
          <w:sz w:val="32"/>
          <w:szCs w:val="32"/>
        </w:rPr>
        <w:t>。</w:t>
      </w:r>
    </w:p>
    <w:p>
      <w:pPr>
        <w:ind w:firstLine="640" w:firstLineChars="200"/>
        <w:rPr>
          <w:rFonts w:ascii="仿宋" w:hAnsi="仿宋" w:eastAsia="仿宋" w:cs="仿宋_GB2312"/>
          <w:sz w:val="32"/>
          <w:szCs w:val="32"/>
        </w:rPr>
      </w:pPr>
      <w:r>
        <w:rPr>
          <w:rFonts w:hint="eastAsia" w:ascii="仿宋" w:hAnsi="仿宋" w:eastAsia="仿宋"/>
          <w:sz w:val="32"/>
          <w:szCs w:val="32"/>
        </w:rPr>
        <w:t>（三）</w:t>
      </w:r>
      <w:r>
        <w:rPr>
          <w:rFonts w:hint="eastAsia" w:ascii="仿宋" w:hAnsi="仿宋" w:eastAsia="仿宋" w:cs="仿宋"/>
          <w:sz w:val="30"/>
          <w:szCs w:val="30"/>
        </w:rPr>
        <w:t>加强部门沟通协作，共同向上争取政策资金，做到资源共享、通力合作、齐抓共管，积极推动全市</w:t>
      </w:r>
      <w:r>
        <w:rPr>
          <w:rFonts w:hint="eastAsia" w:ascii="仿宋" w:hAnsi="仿宋" w:eastAsia="仿宋" w:cs="仿宋"/>
          <w:sz w:val="30"/>
          <w:szCs w:val="30"/>
          <w:lang w:eastAsia="zh-CN"/>
        </w:rPr>
        <w:t>养老服务</w:t>
      </w:r>
      <w:r>
        <w:rPr>
          <w:rFonts w:hint="eastAsia" w:ascii="仿宋" w:hAnsi="仿宋" w:eastAsia="仿宋" w:cs="仿宋"/>
          <w:sz w:val="30"/>
          <w:szCs w:val="30"/>
        </w:rPr>
        <w:t>工作</w:t>
      </w:r>
      <w:r>
        <w:rPr>
          <w:rFonts w:hint="eastAsia" w:ascii="仿宋" w:hAnsi="仿宋" w:eastAsia="仿宋" w:cs="仿宋"/>
          <w:sz w:val="30"/>
          <w:szCs w:val="30"/>
          <w:lang w:eastAsia="zh-CN"/>
        </w:rPr>
        <w:t>全面发展</w:t>
      </w:r>
      <w:r>
        <w:rPr>
          <w:rFonts w:hint="eastAsia" w:ascii="仿宋" w:hAnsi="仿宋" w:eastAsia="仿宋" w:cs="仿宋_GB2312"/>
          <w:sz w:val="32"/>
          <w:szCs w:val="32"/>
        </w:rPr>
        <w:t>。</w:t>
      </w:r>
    </w:p>
    <w:p>
      <w:pPr>
        <w:ind w:firstLine="640" w:firstLineChars="200"/>
        <w:rPr>
          <w:rFonts w:ascii="仿宋" w:hAnsi="仿宋" w:eastAsia="仿宋" w:cs="仿宋_GB2312"/>
          <w:sz w:val="32"/>
          <w:szCs w:val="32"/>
        </w:rPr>
      </w:pPr>
    </w:p>
    <w:p>
      <w:pPr>
        <w:pStyle w:val="2"/>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年度单位预算表</w:t>
      </w:r>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numPr>
          <w:ilvl w:val="0"/>
          <w:numId w:val="1"/>
        </w:num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收支预算总表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0"/>
        <w:gridCol w:w="2354"/>
        <w:gridCol w:w="253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19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2025年度</w:t>
            </w:r>
            <w:r>
              <w:rPr>
                <w:rFonts w:ascii="宋体" w:hAnsi="宋体" w:eastAsia="宋体" w:cs="宋体"/>
                <w:i w:val="0"/>
                <w:iCs w:val="0"/>
                <w:color w:val="000000"/>
                <w:kern w:val="0"/>
                <w:sz w:val="28"/>
                <w:szCs w:val="28"/>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4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6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十、上年结转结余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r>
    </w:tbl>
    <w:p>
      <w:pPr>
        <w:numPr>
          <w:ilvl w:val="0"/>
          <w:numId w:val="0"/>
        </w:numPr>
        <w:tabs>
          <w:tab w:val="left" w:pos="7513"/>
        </w:tabs>
        <w:adjustRightInd w:val="0"/>
        <w:snapToGrid w:val="0"/>
        <w:spacing w:line="600" w:lineRule="exact"/>
        <w:rPr>
          <w:rFonts w:hint="eastAsia" w:ascii="黑体" w:hAnsi="黑体" w:eastAsia="黑体"/>
          <w:sz w:val="32"/>
          <w:szCs w:val="32"/>
        </w:rPr>
      </w:pPr>
    </w:p>
    <w:p>
      <w:pPr>
        <w:tabs>
          <w:tab w:val="left" w:pos="7513"/>
        </w:tabs>
        <w:spacing w:line="300" w:lineRule="auto"/>
        <w:ind w:firstLine="420" w:firstLineChars="200"/>
        <w:jc w:val="left"/>
        <w:rPr>
          <w:rFonts w:ascii="楷体" w:hAnsi="楷体" w:eastAsia="楷体" w:cs="Times New Roman"/>
          <w:kern w:val="0"/>
          <w:szCs w:val="21"/>
        </w:rPr>
        <w:sectPr>
          <w:pgSz w:w="11906" w:h="16838"/>
          <w:pgMar w:top="1440" w:right="1800" w:bottom="1440" w:left="1800" w:header="851" w:footer="992" w:gutter="0"/>
          <w:cols w:space="425" w:num="1"/>
          <w:docGrid w:type="lines" w:linePitch="312" w:charSpace="0"/>
        </w:sect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收入预算总表</w:t>
      </w:r>
    </w:p>
    <w:tbl>
      <w:tblPr>
        <w:tblStyle w:val="6"/>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3"/>
        <w:gridCol w:w="2143"/>
        <w:gridCol w:w="989"/>
        <w:gridCol w:w="989"/>
        <w:gridCol w:w="893"/>
        <w:gridCol w:w="893"/>
        <w:gridCol w:w="893"/>
        <w:gridCol w:w="893"/>
        <w:gridCol w:w="893"/>
        <w:gridCol w:w="893"/>
        <w:gridCol w:w="893"/>
        <w:gridCol w:w="893"/>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8592"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一般公共预算拨款收入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政府性基金预算拨款收入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国有资本经营预算拨款收入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其他收入</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社会保障和就业支出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2081005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社会福利事业单位</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pPr>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支出预算总表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5"/>
        <w:gridCol w:w="1650"/>
        <w:gridCol w:w="900"/>
        <w:gridCol w:w="1315"/>
        <w:gridCol w:w="1309"/>
        <w:gridCol w:w="815"/>
        <w:gridCol w:w="83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80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事业单位经营支出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上缴上级支出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社会保障和就业支出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2081005</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社会福利事业单位</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财政拨款收支预算总表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7"/>
        <w:gridCol w:w="1982"/>
        <w:gridCol w:w="2484"/>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205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2025年度</w:t>
            </w:r>
            <w:r>
              <w:rPr>
                <w:rFonts w:ascii="宋体" w:hAnsi="宋体" w:eastAsia="宋体" w:cs="宋体"/>
                <w:i w:val="0"/>
                <w:iCs w:val="0"/>
                <w:color w:val="000000"/>
                <w:kern w:val="0"/>
                <w:sz w:val="28"/>
                <w:szCs w:val="28"/>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7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一般公共预算拨款支出预算表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2830"/>
        <w:gridCol w:w="1502"/>
        <w:gridCol w:w="1815"/>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476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一般公共预算拨款支出预算表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4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社会保障和就业支出</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2081005</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社会福利事业单位</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9638" w:type="dxa"/>
        <w:tblInd w:w="91" w:type="dxa"/>
        <w:tblLayout w:type="autofit"/>
        <w:tblCellMar>
          <w:top w:w="0" w:type="dxa"/>
          <w:left w:w="108" w:type="dxa"/>
          <w:bottom w:w="0" w:type="dxa"/>
          <w:right w:w="108" w:type="dxa"/>
        </w:tblCellMar>
      </w:tblPr>
      <w:tblGrid>
        <w:gridCol w:w="1344"/>
        <w:gridCol w:w="2986"/>
        <w:gridCol w:w="1824"/>
        <w:gridCol w:w="1824"/>
        <w:gridCol w:w="1660"/>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560" w:firstLineChars="200"/>
        <w:rPr>
          <w:rFonts w:ascii="黑体" w:hAnsi="黑体" w:eastAsia="黑体"/>
          <w:sz w:val="28"/>
          <w:szCs w:val="28"/>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8"/>
          <w:szCs w:val="28"/>
        </w:rPr>
        <w:t>备注：本</w:t>
      </w:r>
      <w:r>
        <w:rPr>
          <w:rFonts w:hint="eastAsia" w:ascii="楷体" w:hAnsi="楷体" w:eastAsia="楷体" w:cs="Times New Roman"/>
          <w:kern w:val="0"/>
          <w:sz w:val="28"/>
          <w:szCs w:val="28"/>
          <w:lang w:eastAsia="zh-CN"/>
        </w:rPr>
        <w:t>单位</w:t>
      </w:r>
      <w:r>
        <w:rPr>
          <w:rFonts w:hint="eastAsia" w:ascii="楷体" w:hAnsi="楷体" w:eastAsia="楷体" w:cs="Times New Roman"/>
          <w:kern w:val="0"/>
          <w:sz w:val="28"/>
          <w:szCs w:val="28"/>
          <w:lang w:val="en-US" w:eastAsia="zh-CN"/>
        </w:rPr>
        <w:t>2025</w:t>
      </w:r>
      <w:r>
        <w:rPr>
          <w:rFonts w:hint="eastAsia" w:ascii="楷体" w:hAnsi="楷体" w:eastAsia="楷体" w:cs="Times New Roman"/>
          <w:kern w:val="0"/>
          <w:sz w:val="28"/>
          <w:szCs w:val="28"/>
        </w:rPr>
        <w:t>年没有使用政府性基金预算拨款安排的支出。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9638" w:type="dxa"/>
        <w:tblInd w:w="91" w:type="dxa"/>
        <w:tblLayout w:type="autofit"/>
        <w:tblCellMar>
          <w:top w:w="0" w:type="dxa"/>
          <w:left w:w="108" w:type="dxa"/>
          <w:bottom w:w="0" w:type="dxa"/>
          <w:right w:w="108" w:type="dxa"/>
        </w:tblCellMar>
      </w:tblPr>
      <w:tblGrid>
        <w:gridCol w:w="1344"/>
        <w:gridCol w:w="2986"/>
        <w:gridCol w:w="1824"/>
        <w:gridCol w:w="1824"/>
        <w:gridCol w:w="1660"/>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280" w:firstLineChars="100"/>
        <w:rPr>
          <w:rFonts w:ascii="黑体" w:hAnsi="黑体" w:eastAsia="黑体"/>
          <w:sz w:val="28"/>
          <w:szCs w:val="28"/>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8"/>
          <w:szCs w:val="28"/>
        </w:rPr>
        <w:t>备注：本</w:t>
      </w:r>
      <w:r>
        <w:rPr>
          <w:rFonts w:hint="eastAsia" w:ascii="楷体" w:hAnsi="楷体" w:eastAsia="楷体" w:cs="Times New Roman"/>
          <w:kern w:val="0"/>
          <w:sz w:val="28"/>
          <w:szCs w:val="28"/>
          <w:lang w:eastAsia="zh-CN"/>
        </w:rPr>
        <w:t>单位</w:t>
      </w:r>
      <w:r>
        <w:rPr>
          <w:rFonts w:hint="eastAsia" w:ascii="楷体" w:hAnsi="楷体" w:eastAsia="楷体" w:cs="Times New Roman"/>
          <w:kern w:val="0"/>
          <w:sz w:val="28"/>
          <w:szCs w:val="28"/>
          <w:lang w:val="en-US" w:eastAsia="zh-CN"/>
        </w:rPr>
        <w:t>2025</w:t>
      </w:r>
      <w:r>
        <w:rPr>
          <w:rFonts w:hint="eastAsia" w:ascii="楷体" w:hAnsi="楷体" w:eastAsia="楷体" w:cs="Times New Roman"/>
          <w:kern w:val="0"/>
          <w:sz w:val="28"/>
          <w:szCs w:val="28"/>
        </w:rPr>
        <w:t>年没有使用国有资本经营预算拨款安排的支出。</w:t>
      </w:r>
    </w:p>
    <w:p>
      <w:pPr>
        <w:numPr>
          <w:ilvl w:val="0"/>
          <w:numId w:val="2"/>
        </w:num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一般公共预算支出经济分类情况表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9"/>
        <w:gridCol w:w="4954"/>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57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一般公共预算支出经济分类情况表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rPr>
          <w:rFonts w:hint="eastAsia" w:ascii="黑体" w:hAnsi="黑体" w:eastAsia="黑体"/>
          <w:sz w:val="32"/>
          <w:szCs w:val="32"/>
        </w:rPr>
      </w:pPr>
    </w:p>
    <w:p>
      <w:pPr>
        <w:numPr>
          <w:ilvl w:val="0"/>
          <w:numId w:val="2"/>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一般公共预算基本支出经济分类情况表</w:t>
      </w:r>
    </w:p>
    <w:tbl>
      <w:tblPr>
        <w:tblStyle w:val="6"/>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6"/>
        <w:gridCol w:w="4912"/>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461"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1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伙食补助费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职业年金缴费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专用材料费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被装购置费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专用燃料费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30240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税金及附加费用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离休费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退职（役）费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救济费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个人农业生产补贴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代缴社会保险费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国内债务付息</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国外债务付息</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国内债务发行费用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国外债务发行费用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其他基本建设支出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土地补偿</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地上附着物和青苗补偿</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拆迁补偿</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资本金注入（基本建设）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政府投资基金股权投资</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利息补贴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对社会保险基金补助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补充全国社会保障基金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国家赔偿费用支出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经常性赠与</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资本性赠与</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9638" w:type="dxa"/>
        <w:tblInd w:w="91" w:type="dxa"/>
        <w:tblLayout w:type="autofit"/>
        <w:tblCellMar>
          <w:top w:w="0" w:type="dxa"/>
          <w:left w:w="108" w:type="dxa"/>
          <w:bottom w:w="0" w:type="dxa"/>
          <w:right w:w="108" w:type="dxa"/>
        </w:tblCellMar>
      </w:tblPr>
      <w:tblGrid>
        <w:gridCol w:w="5241"/>
        <w:gridCol w:w="4397"/>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bl>
    <w:p>
      <w:pPr>
        <w:spacing w:line="300" w:lineRule="auto"/>
        <w:ind w:firstLine="480" w:firstLineChars="200"/>
        <w:jc w:val="left"/>
        <w:rPr>
          <w:rFonts w:ascii="楷体" w:hAnsi="楷体" w:eastAsia="楷体" w:cs="Times New Roman"/>
          <w:kern w:val="0"/>
          <w:sz w:val="24"/>
          <w:szCs w:val="24"/>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4"/>
          <w:szCs w:val="24"/>
        </w:rPr>
        <w:t>备注：本</w:t>
      </w:r>
      <w:r>
        <w:rPr>
          <w:rFonts w:hint="eastAsia" w:ascii="楷体" w:hAnsi="楷体" w:eastAsia="楷体" w:cs="Times New Roman"/>
          <w:kern w:val="0"/>
          <w:sz w:val="24"/>
          <w:szCs w:val="24"/>
          <w:lang w:eastAsia="zh-CN"/>
        </w:rPr>
        <w:t>单位</w:t>
      </w:r>
      <w:r>
        <w:rPr>
          <w:rFonts w:hint="eastAsia" w:ascii="楷体" w:hAnsi="楷体" w:eastAsia="楷体" w:cs="Times New Roman"/>
          <w:kern w:val="0"/>
          <w:sz w:val="24"/>
          <w:szCs w:val="24"/>
          <w:lang w:val="en-US" w:eastAsia="zh-CN"/>
        </w:rPr>
        <w:t>2025</w:t>
      </w:r>
      <w:r>
        <w:rPr>
          <w:rFonts w:hint="eastAsia" w:ascii="楷体" w:hAnsi="楷体" w:eastAsia="楷体" w:cs="Times New Roman"/>
          <w:kern w:val="0"/>
          <w:sz w:val="24"/>
          <w:szCs w:val="24"/>
        </w:rPr>
        <w:t>年度</w:t>
      </w:r>
      <w:r>
        <w:rPr>
          <w:rFonts w:hint="eastAsia" w:ascii="楷体" w:hAnsi="楷体" w:eastAsia="楷体"/>
          <w:sz w:val="24"/>
          <w:szCs w:val="24"/>
        </w:rPr>
        <w:t>没有</w:t>
      </w:r>
      <w:r>
        <w:rPr>
          <w:rFonts w:hint="eastAsia" w:ascii="楷体" w:hAnsi="楷体" w:eastAsia="楷体" w:cs="Times New Roman"/>
          <w:kern w:val="0"/>
          <w:sz w:val="24"/>
          <w:szCs w:val="24"/>
        </w:rPr>
        <w:t>一般公共预算安排的‘三公’经费支出。</w:t>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cs="仿宋_GB2312"/>
          <w:sz w:val="32"/>
          <w:szCs w:val="32"/>
          <w:lang w:eastAsia="zh-CN"/>
        </w:rPr>
        <w:t>漳平市养老服务中心</w:t>
      </w:r>
      <w:r>
        <w:rPr>
          <w:rFonts w:hint="eastAsia" w:ascii="仿宋" w:hAnsi="仿宋" w:eastAsia="仿宋"/>
          <w:sz w:val="32"/>
          <w:szCs w:val="32"/>
        </w:rPr>
        <w:t>收入预算为</w:t>
      </w:r>
      <w:r>
        <w:rPr>
          <w:rFonts w:hint="eastAsia" w:ascii="仿宋" w:hAnsi="仿宋" w:eastAsia="仿宋" w:cs="仿宋_GB2312"/>
          <w:sz w:val="32"/>
          <w:szCs w:val="32"/>
          <w:lang w:val="en-US" w:eastAsia="zh-CN"/>
        </w:rPr>
        <w:t>60.85</w:t>
      </w:r>
      <w:r>
        <w:rPr>
          <w:rFonts w:hint="eastAsia" w:ascii="仿宋" w:hAnsi="仿宋" w:eastAsia="仿宋"/>
          <w:sz w:val="32"/>
          <w:szCs w:val="32"/>
        </w:rPr>
        <w:t>万元，比上年增加</w:t>
      </w:r>
      <w:r>
        <w:rPr>
          <w:rFonts w:hint="eastAsia" w:ascii="仿宋" w:hAnsi="仿宋" w:eastAsia="仿宋" w:cs="仿宋_GB2312"/>
          <w:sz w:val="32"/>
          <w:szCs w:val="32"/>
          <w:lang w:val="en-US" w:eastAsia="zh-CN"/>
        </w:rPr>
        <w:t>14.48</w:t>
      </w:r>
      <w:r>
        <w:rPr>
          <w:rFonts w:hint="eastAsia" w:ascii="仿宋" w:hAnsi="仿宋" w:eastAsia="仿宋"/>
          <w:sz w:val="32"/>
          <w:szCs w:val="32"/>
        </w:rPr>
        <w:t>万元，主要原因是</w:t>
      </w:r>
      <w:r>
        <w:rPr>
          <w:rFonts w:hint="eastAsia" w:ascii="仿宋" w:hAnsi="仿宋" w:eastAsia="仿宋" w:cs="仿宋_GB2312"/>
          <w:sz w:val="32"/>
          <w:szCs w:val="32"/>
          <w:lang w:eastAsia="zh-CN"/>
        </w:rPr>
        <w:t>人员增加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60.85</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万元、国有资本经营预算拨款收入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w:t>
      </w:r>
      <w:r>
        <w:rPr>
          <w:rFonts w:hint="eastAsia" w:ascii="仿宋" w:hAnsi="仿宋" w:eastAsia="仿宋"/>
          <w:sz w:val="32"/>
          <w:szCs w:val="32"/>
        </w:rPr>
        <w:t>万元、其他收入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60.85</w:t>
      </w:r>
      <w:r>
        <w:rPr>
          <w:rFonts w:hint="eastAsia" w:ascii="仿宋" w:hAnsi="仿宋" w:eastAsia="仿宋"/>
          <w:sz w:val="32"/>
          <w:szCs w:val="32"/>
        </w:rPr>
        <w:t>万元，比上年增加</w:t>
      </w:r>
      <w:r>
        <w:rPr>
          <w:rFonts w:hint="eastAsia" w:ascii="仿宋" w:hAnsi="仿宋" w:eastAsia="仿宋"/>
          <w:sz w:val="32"/>
          <w:szCs w:val="32"/>
          <w:lang w:val="en-US" w:eastAsia="zh-CN"/>
        </w:rPr>
        <w:t>14.48</w:t>
      </w:r>
      <w:r>
        <w:rPr>
          <w:rFonts w:hint="eastAsia" w:ascii="仿宋" w:hAnsi="仿宋" w:eastAsia="仿宋"/>
          <w:sz w:val="32"/>
          <w:szCs w:val="32"/>
        </w:rPr>
        <w:t>万元，主要原因是</w:t>
      </w:r>
      <w:r>
        <w:rPr>
          <w:rFonts w:hint="eastAsia" w:ascii="仿宋" w:hAnsi="仿宋" w:eastAsia="仿宋" w:cs="仿宋_GB2312"/>
          <w:sz w:val="32"/>
          <w:szCs w:val="32"/>
          <w:lang w:eastAsia="zh-CN"/>
        </w:rPr>
        <w:t>人员增加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60.85</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万元、事业单位经营支出</w:t>
      </w:r>
      <w:r>
        <w:rPr>
          <w:rFonts w:hint="eastAsia" w:ascii="仿宋" w:hAnsi="仿宋" w:eastAsia="仿宋" w:cs="仿宋_GB2312"/>
          <w:sz w:val="32"/>
          <w:szCs w:val="32"/>
          <w:lang w:val="en-US" w:eastAsia="zh-CN"/>
        </w:rPr>
        <w:t>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60.85</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14.48</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31.23</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人员增加</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。按照党中央、国务院和省委、省政府关于过紧日子的有关要求，厉行节约办一切事业，大力压减一般性支出，重点压减了公用经费和培训等项目支出中涉及的非急需非刚性支出，同时合理保障了</w:t>
      </w:r>
      <w:r>
        <w:rPr>
          <w:rFonts w:hint="eastAsia" w:ascii="仿宋" w:hAnsi="仿宋" w:eastAsia="仿宋" w:cs="仿宋_GB2312"/>
          <w:sz w:val="32"/>
          <w:szCs w:val="32"/>
          <w:lang w:eastAsia="zh-CN"/>
        </w:rPr>
        <w:t>养老服务中心办公经费</w:t>
      </w:r>
      <w:r>
        <w:rPr>
          <w:rFonts w:hint="eastAsia" w:ascii="仿宋" w:hAnsi="仿宋" w:eastAsia="仿宋" w:cs="仿宋_GB2312"/>
          <w:sz w:val="32"/>
          <w:szCs w:val="32"/>
        </w:rPr>
        <w:t>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（一）2081005-社会福利事业单位</w:t>
      </w:r>
      <w:r>
        <w:rPr>
          <w:rFonts w:hint="eastAsia" w:ascii="仿宋" w:hAnsi="仿宋" w:eastAsia="仿宋" w:cs="仿宋_GB2312"/>
          <w:sz w:val="32"/>
          <w:szCs w:val="32"/>
          <w:lang w:val="en-US" w:eastAsia="zh-CN"/>
        </w:rPr>
        <w:t>57.47</w:t>
      </w:r>
      <w:r>
        <w:rPr>
          <w:rFonts w:hint="eastAsia" w:ascii="仿宋" w:hAnsi="仿宋" w:eastAsia="仿宋" w:cs="仿宋_GB2312"/>
          <w:sz w:val="32"/>
          <w:szCs w:val="32"/>
        </w:rPr>
        <w:t>万元。主要用于基本支出。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（二）2210201-住房公积金</w:t>
      </w:r>
      <w:r>
        <w:rPr>
          <w:rFonts w:hint="eastAsia" w:ascii="仿宋" w:hAnsi="仿宋" w:eastAsia="仿宋" w:cs="仿宋_GB2312"/>
          <w:sz w:val="32"/>
          <w:szCs w:val="32"/>
          <w:lang w:val="en-US" w:eastAsia="zh-CN"/>
        </w:rPr>
        <w:t>3.38</w:t>
      </w:r>
      <w:r>
        <w:rPr>
          <w:rFonts w:hint="eastAsia" w:ascii="仿宋" w:hAnsi="仿宋" w:eastAsia="仿宋" w:cs="仿宋_GB2312"/>
          <w:sz w:val="32"/>
          <w:szCs w:val="32"/>
        </w:rPr>
        <w:t>万元。主要用于住房公积金支出。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pPr>
        <w:tabs>
          <w:tab w:val="left" w:pos="7513"/>
        </w:tabs>
        <w:adjustRightInd w:val="0"/>
        <w:snapToGrid w:val="0"/>
        <w:spacing w:line="600" w:lineRule="exact"/>
        <w:ind w:firstLine="640" w:firstLineChars="200"/>
        <w:rPr>
          <w:rFonts w:ascii="楷体" w:hAnsi="楷体" w:eastAsia="楷体"/>
          <w:sz w:val="32"/>
          <w:szCs w:val="32"/>
        </w:rPr>
      </w:pP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年度没有使用国有资本经营预算拨款安排的支出。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五、一般公共预算拨款基本支出情况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60.85</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51.9</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2.48</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hint="eastAsia" w:ascii="仿宋" w:hAnsi="仿宋" w:eastAsia="仿宋" w:cs="宋体"/>
          <w:kern w:val="0"/>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p>
    <w:p>
      <w:pPr>
        <w:adjustRightInd w:val="0"/>
        <w:snapToGrid w:val="0"/>
        <w:spacing w:line="600" w:lineRule="exact"/>
        <w:ind w:firstLine="642"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比上年减少（增加）</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降低（增长）</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比上年减少（增加）</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降低（增长）</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w:t>
      </w:r>
      <w:r>
        <w:rPr>
          <w:rFonts w:hint="eastAsia" w:ascii="仿宋" w:hAnsi="仿宋" w:eastAsia="仿宋" w:cs="宋体"/>
          <w:kern w:val="0"/>
          <w:sz w:val="32"/>
          <w:szCs w:val="32"/>
        </w:rPr>
        <w:t>与上年持平。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pPr>
        <w:spacing w:line="590" w:lineRule="exact"/>
        <w:ind w:firstLine="629"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5</w:t>
      </w:r>
      <w:r>
        <w:rPr>
          <w:rFonts w:hint="eastAsia" w:ascii="仿宋" w:hAnsi="仿宋" w:eastAsia="仿宋" w:cs="仿宋_GB2312"/>
          <w:kern w:val="0"/>
          <w:sz w:val="32"/>
          <w:szCs w:val="32"/>
        </w:rPr>
        <w:t>年，本单位没有设置项目绩效目标。</w:t>
      </w:r>
    </w:p>
    <w:p>
      <w:pPr>
        <w:spacing w:line="590" w:lineRule="exact"/>
        <w:ind w:firstLine="629"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2" w:firstLineChars="200"/>
        <w:rPr>
          <w:rFonts w:hint="eastAsia" w:ascii="仿宋" w:hAnsi="仿宋" w:eastAsia="仿宋"/>
          <w:b/>
          <w:sz w:val="32"/>
          <w:szCs w:val="32"/>
        </w:rPr>
      </w:pPr>
      <w:r>
        <w:rPr>
          <w:rFonts w:ascii="仿宋" w:hAnsi="仿宋" w:eastAsia="仿宋"/>
          <w:b/>
          <w:sz w:val="32"/>
          <w:szCs w:val="32"/>
        </w:rPr>
        <w:t>1.项目支出绩效目标表</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w:t>
      </w:r>
      <w:r>
        <w:rPr>
          <w:rFonts w:hint="eastAsia" w:ascii="楷体" w:hAnsi="楷体" w:eastAsia="楷体" w:cs="楷体"/>
          <w:kern w:val="0"/>
          <w:sz w:val="32"/>
          <w:szCs w:val="32"/>
          <w:lang w:eastAsia="zh-CN"/>
        </w:rPr>
        <w:t>单位</w:t>
      </w:r>
      <w:r>
        <w:rPr>
          <w:rFonts w:hint="eastAsia" w:ascii="楷体" w:hAnsi="楷体" w:eastAsia="楷体" w:cs="楷体"/>
          <w:kern w:val="0"/>
          <w:sz w:val="32"/>
          <w:szCs w:val="32"/>
        </w:rPr>
        <w:t>无项目支出绩效目标表。</w:t>
      </w:r>
    </w:p>
    <w:p>
      <w:pPr>
        <w:spacing w:line="590" w:lineRule="exact"/>
        <w:ind w:firstLine="642" w:firstLineChars="200"/>
        <w:rPr>
          <w:rFonts w:ascii="仿宋" w:hAnsi="仿宋" w:eastAsia="仿宋"/>
          <w:b/>
          <w:sz w:val="32"/>
          <w:szCs w:val="32"/>
        </w:rPr>
      </w:pPr>
      <w:r>
        <w:rPr>
          <w:rFonts w:hint="eastAsia" w:ascii="仿宋" w:hAnsi="仿宋" w:eastAsia="仿宋"/>
          <w:b/>
          <w:sz w:val="32"/>
          <w:szCs w:val="32"/>
          <w:lang w:val="en-US" w:eastAsia="zh-CN"/>
        </w:rPr>
        <w:t>2</w:t>
      </w:r>
      <w:r>
        <w:rPr>
          <w:rFonts w:ascii="仿宋" w:hAnsi="仿宋" w:eastAsia="仿宋"/>
          <w:b/>
          <w:sz w:val="32"/>
          <w:szCs w:val="32"/>
        </w:rPr>
        <w:t>.有关情况说明</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w:t>
      </w:r>
      <w:r>
        <w:rPr>
          <w:rFonts w:hint="eastAsia" w:ascii="楷体" w:hAnsi="楷体" w:eastAsia="楷体" w:cs="楷体"/>
          <w:kern w:val="0"/>
          <w:sz w:val="32"/>
          <w:szCs w:val="32"/>
          <w:lang w:eastAsia="zh-CN"/>
        </w:rPr>
        <w:t>单位</w:t>
      </w:r>
      <w:r>
        <w:rPr>
          <w:rFonts w:hint="eastAsia" w:ascii="楷体" w:hAnsi="楷体" w:eastAsia="楷体" w:cs="楷体"/>
          <w:kern w:val="0"/>
          <w:sz w:val="32"/>
          <w:szCs w:val="32"/>
        </w:rPr>
        <w:t>无其他需要说明的绩效目标情况。</w:t>
      </w:r>
    </w:p>
    <w:p>
      <w:pPr>
        <w:spacing w:line="600" w:lineRule="exact"/>
        <w:rPr>
          <w:rFonts w:ascii="黑体" w:hAnsi="黑体" w:eastAsia="黑体"/>
          <w:sz w:val="32"/>
          <w:szCs w:val="32"/>
        </w:rPr>
      </w:pPr>
      <w:r>
        <w:rPr>
          <w:rFonts w:hint="eastAsia" w:ascii="黑体" w:hAnsi="黑体" w:eastAsia="黑体"/>
          <w:sz w:val="32"/>
          <w:szCs w:val="32"/>
        </w:rPr>
        <w:t xml:space="preserve">    八、其他重要事项说明</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单位</w:t>
      </w:r>
      <w:r>
        <w:rPr>
          <w:rFonts w:hint="eastAsia" w:ascii="楷体" w:hAnsi="楷体" w:eastAsia="楷体"/>
          <w:sz w:val="32"/>
          <w:szCs w:val="32"/>
        </w:rPr>
        <w:t>没有机关运行经费。</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w:t>
      </w:r>
      <w:r>
        <w:rPr>
          <w:rFonts w:hint="eastAsia" w:ascii="楷体" w:hAnsi="楷体" w:eastAsia="楷体"/>
          <w:sz w:val="32"/>
          <w:szCs w:val="32"/>
        </w:rPr>
        <w:t>没有政府采购预算。</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漳平市养老服务中心</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辆，其中：副部（省）级以上领导用车</w:t>
      </w:r>
      <w:r>
        <w:rPr>
          <w:rFonts w:hint="eastAsia" w:ascii="仿宋" w:hAnsi="仿宋" w:eastAsia="仿宋"/>
          <w:sz w:val="32"/>
          <w:szCs w:val="32"/>
          <w:lang w:val="en-US" w:eastAsia="zh-CN"/>
        </w:rPr>
        <w:t>0</w:t>
      </w:r>
      <w:r>
        <w:rPr>
          <w:rFonts w:hint="eastAsia" w:ascii="仿宋" w:hAnsi="仿宋" w:eastAsia="仿宋"/>
          <w:sz w:val="32"/>
          <w:szCs w:val="32"/>
        </w:rPr>
        <w:t>辆、主要领导干部用车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2025</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w:t>
      </w:r>
      <w:r>
        <w:rPr>
          <w:rFonts w:hint="eastAsia" w:ascii="仿宋" w:hAnsi="仿宋" w:eastAsia="仿宋" w:cs="仿宋_GB2312"/>
          <w:kern w:val="0"/>
          <w:sz w:val="32"/>
          <w:szCs w:val="32"/>
        </w:rPr>
        <w:t>副部（省）级以上领导用车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jc w:val="center"/>
        <w:rPr>
          <w:rFonts w:ascii="黑体" w:hAnsi="黑体" w:eastAsia="黑体"/>
          <w:sz w:val="56"/>
        </w:rPr>
      </w:pPr>
      <w:r>
        <w:rPr>
          <w:rFonts w:hint="eastAsia" w:ascii="黑体" w:hAnsi="黑体" w:eastAsia="黑体"/>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2"/>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2"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E865"/>
    <w:multiLevelType w:val="singleLevel"/>
    <w:tmpl w:val="9DEEE865"/>
    <w:lvl w:ilvl="0" w:tentative="0">
      <w:start w:val="1"/>
      <w:numFmt w:val="chineseCounting"/>
      <w:suff w:val="nothing"/>
      <w:lvlText w:val="%1、"/>
      <w:lvlJc w:val="left"/>
      <w:rPr>
        <w:rFonts w:hint="eastAsia"/>
      </w:rPr>
    </w:lvl>
  </w:abstractNum>
  <w:abstractNum w:abstractNumId="1">
    <w:nsid w:val="DDFB4B77"/>
    <w:multiLevelType w:val="singleLevel"/>
    <w:tmpl w:val="DDFB4B77"/>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377D7162"/>
    <w:rsid w:val="46D40D0A"/>
    <w:rsid w:val="4791583C"/>
    <w:rsid w:val="4D424BF3"/>
    <w:rsid w:val="5BCD1176"/>
    <w:rsid w:val="5FF3815A"/>
    <w:rsid w:val="6F2B84AC"/>
    <w:rsid w:val="7FEF25DC"/>
    <w:rsid w:val="B7ECF880"/>
    <w:rsid w:val="BFA7727A"/>
    <w:rsid w:val="DBB55114"/>
    <w:rsid w:val="DCD92DD0"/>
    <w:rsid w:val="DD3ECCA9"/>
    <w:rsid w:val="EEDB702A"/>
    <w:rsid w:val="F37EDACE"/>
    <w:rsid w:val="FFDF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1903</Words>
  <Characters>10852</Characters>
  <Lines>90</Lines>
  <Paragraphs>25</Paragraphs>
  <TotalTime>14</TotalTime>
  <ScaleCrop>false</ScaleCrop>
  <LinksUpToDate>false</LinksUpToDate>
  <CharactersWithSpaces>12730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2019-03-11T08:45:00Z</dcterms:created>
  <dc:creator>null</dc:creator>
  <cp:lastModifiedBy>lyadmin</cp:lastModifiedBy>
  <cp:lastPrinted>2024-04-03T02:55:00Z</cp:lastPrinted>
  <dcterms:modified xsi:type="dcterms:W3CDTF">2025-02-08T17:03:35Z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AC7C1BE272948AB19861A46796E51E43</vt:lpwstr>
  </property>
</Properties>
</file>