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sz w:val="32"/>
          <w:szCs w:val="32"/>
        </w:rPr>
      </w:pPr>
    </w:p>
    <w:p>
      <w:pPr>
        <w:widowControl/>
        <w:jc w:val="center"/>
        <w:rPr>
          <w:sz w:val="84"/>
          <w:szCs w:val="84"/>
        </w:rPr>
      </w:pPr>
    </w:p>
    <w:p>
      <w:pPr>
        <w:widowControl/>
        <w:jc w:val="center"/>
        <w:rPr>
          <w:sz w:val="84"/>
          <w:szCs w:val="84"/>
        </w:rPr>
      </w:pPr>
    </w:p>
    <w:p>
      <w:pPr>
        <w:widowControl/>
        <w:jc w:val="center"/>
        <w:rPr>
          <w:rFonts w:ascii="方正小标宋简体" w:eastAsia="方正小标宋简体"/>
          <w:sz w:val="84"/>
          <w:szCs w:val="84"/>
        </w:rPr>
      </w:pPr>
      <w:r>
        <w:rPr>
          <w:rFonts w:hint="eastAsia" w:ascii="方正小标宋简体" w:eastAsia="方正小标宋简体"/>
          <w:sz w:val="84"/>
          <w:szCs w:val="84"/>
          <w:lang w:val="en-US" w:eastAsia="zh-CN"/>
        </w:rPr>
        <w:t>2025</w:t>
      </w:r>
      <w:r>
        <w:rPr>
          <w:rFonts w:hint="eastAsia" w:ascii="方正小标宋简体" w:eastAsia="方正小标宋简体"/>
          <w:sz w:val="84"/>
          <w:szCs w:val="84"/>
        </w:rPr>
        <w:t>年度</w:t>
      </w:r>
      <w:r>
        <w:rPr>
          <w:rFonts w:hint="eastAsia" w:ascii="方正小标宋简体" w:eastAsia="方正小标宋简体"/>
          <w:sz w:val="84"/>
          <w:szCs w:val="84"/>
          <w:lang w:eastAsia="zh-CN"/>
        </w:rPr>
        <w:t>漳平市殡葬服务所单位</w:t>
      </w:r>
      <w:r>
        <w:rPr>
          <w:rFonts w:hint="eastAsia" w:ascii="方正小标宋简体" w:eastAsia="方正小标宋简体"/>
          <w:sz w:val="84"/>
          <w:szCs w:val="84"/>
        </w:rPr>
        <w:t>预算</w:t>
      </w:r>
    </w:p>
    <w:p>
      <w:pPr>
        <w:widowControl/>
        <w:rPr>
          <w:sz w:val="84"/>
          <w:szCs w:val="84"/>
        </w:rPr>
      </w:pPr>
      <w:r>
        <w:rPr>
          <w:sz w:val="84"/>
          <w:szCs w:val="84"/>
        </w:rPr>
        <w:br w:type="page"/>
      </w:r>
    </w:p>
    <w:p>
      <w:pPr>
        <w:pStyle w:val="2"/>
        <w:jc w:val="center"/>
        <w:rPr>
          <w:rFonts w:ascii="方正小标宋简体" w:eastAsia="方正小标宋简体" w:hAnsiTheme="majorEastAsia"/>
          <w:sz w:val="44"/>
          <w:lang w:eastAsia="zh-CN"/>
        </w:rPr>
      </w:pPr>
      <w:r>
        <w:rPr>
          <w:rFonts w:hint="eastAsia" w:ascii="方正小标宋简体" w:eastAsia="方正小标宋简体" w:hAnsiTheme="majorEastAsia"/>
          <w:sz w:val="44"/>
          <w:lang w:eastAsia="zh-CN"/>
        </w:rPr>
        <w:t>目</w:t>
      </w:r>
      <w:r>
        <w:rPr>
          <w:rFonts w:ascii="方正小标宋简体" w:eastAsia="方正小标宋简体" w:hAnsiTheme="majorEastAsia"/>
          <w:sz w:val="44"/>
          <w:lang w:eastAsia="zh-CN"/>
        </w:rPr>
        <w:t xml:space="preserve">  </w:t>
      </w:r>
      <w:r>
        <w:rPr>
          <w:rFonts w:hint="eastAsia" w:ascii="方正小标宋简体" w:eastAsia="方正小标宋简体" w:hAnsiTheme="majorEastAsia"/>
          <w:sz w:val="44"/>
          <w:lang w:eastAsia="zh-CN"/>
        </w:rPr>
        <w:t>录</w:t>
      </w:r>
    </w:p>
    <w:p>
      <w:pPr>
        <w:pStyle w:val="2"/>
        <w:rPr>
          <w:rFonts w:asciiTheme="majorEastAsia" w:hAnsiTheme="majorEastAsia" w:eastAsiaTheme="majorEastAsia"/>
          <w:sz w:val="36"/>
          <w:lang w:eastAsia="zh-CN"/>
        </w:rPr>
      </w:pPr>
    </w:p>
    <w:p>
      <w:pPr>
        <w:pStyle w:val="2"/>
        <w:rPr>
          <w:rFonts w:hint="default" w:ascii="仿宋" w:hAnsi="仿宋" w:eastAsia="仿宋"/>
          <w:b/>
          <w:sz w:val="36"/>
          <w:lang w:val="en-US" w:eastAsia="zh-CN"/>
        </w:rPr>
      </w:pPr>
      <w:r>
        <w:rPr>
          <w:rFonts w:hint="eastAsia" w:ascii="仿宋" w:hAnsi="仿宋" w:eastAsia="仿宋"/>
          <w:b/>
          <w:sz w:val="36"/>
          <w:lang w:eastAsia="zh-CN"/>
        </w:rPr>
        <w:t>第一部分</w:t>
      </w:r>
      <w:r>
        <w:rPr>
          <w:rFonts w:ascii="仿宋" w:hAnsi="仿宋" w:eastAsia="仿宋"/>
          <w:b/>
          <w:sz w:val="36"/>
          <w:lang w:eastAsia="zh-CN"/>
        </w:rPr>
        <w:t xml:space="preserve"> </w:t>
      </w:r>
      <w:r>
        <w:rPr>
          <w:rFonts w:hint="eastAsia" w:ascii="仿宋" w:hAnsi="仿宋" w:eastAsia="仿宋"/>
          <w:b/>
          <w:sz w:val="36"/>
          <w:lang w:eastAsia="zh-CN"/>
        </w:rPr>
        <w:t>单位概况</w:t>
      </w:r>
      <w:r>
        <w:rPr>
          <w:rFonts w:ascii="仿宋" w:hAnsi="仿宋" w:eastAsia="仿宋"/>
          <w:b/>
          <w:sz w:val="36"/>
          <w:lang w:eastAsia="zh-CN"/>
        </w:rPr>
        <w:t>…………………………………</w:t>
      </w:r>
      <w:r>
        <w:rPr>
          <w:rFonts w:hint="eastAsia" w:ascii="仿宋" w:hAnsi="仿宋" w:eastAsia="仿宋"/>
          <w:b/>
          <w:sz w:val="36"/>
          <w:lang w:val="en-US" w:eastAsia="zh-CN"/>
        </w:rPr>
        <w:t>4</w:t>
      </w:r>
    </w:p>
    <w:p>
      <w:pPr>
        <w:pStyle w:val="2"/>
        <w:ind w:firstLine="360" w:firstLineChars="100"/>
        <w:rPr>
          <w:rFonts w:hint="default" w:ascii="仿宋" w:hAnsi="仿宋" w:eastAsia="仿宋"/>
          <w:sz w:val="36"/>
          <w:lang w:val="en-US" w:eastAsia="zh-CN"/>
        </w:rPr>
      </w:pPr>
      <w:r>
        <w:rPr>
          <w:rFonts w:hint="eastAsia" w:ascii="仿宋" w:hAnsi="仿宋" w:eastAsia="仿宋"/>
          <w:sz w:val="36"/>
          <w:lang w:eastAsia="zh-CN"/>
        </w:rPr>
        <w:t>一、单位主要职责</w:t>
      </w:r>
      <w:r>
        <w:rPr>
          <w:rFonts w:ascii="仿宋" w:hAnsi="仿宋" w:eastAsia="仿宋"/>
          <w:b/>
          <w:sz w:val="36"/>
          <w:lang w:eastAsia="zh-CN"/>
        </w:rPr>
        <w:t>…………………………………</w:t>
      </w:r>
      <w:r>
        <w:rPr>
          <w:rFonts w:hint="eastAsia" w:ascii="仿宋" w:hAnsi="仿宋" w:eastAsia="仿宋"/>
          <w:b/>
          <w:sz w:val="36"/>
          <w:lang w:val="en-US" w:eastAsia="zh-CN"/>
        </w:rPr>
        <w:t>5</w:t>
      </w:r>
    </w:p>
    <w:p>
      <w:pPr>
        <w:pStyle w:val="2"/>
        <w:ind w:firstLine="360" w:firstLineChars="100"/>
        <w:rPr>
          <w:rFonts w:hint="default" w:ascii="仿宋" w:hAnsi="仿宋" w:eastAsia="仿宋"/>
          <w:sz w:val="36"/>
          <w:lang w:val="en-US" w:eastAsia="zh-CN"/>
        </w:rPr>
      </w:pPr>
      <w:r>
        <w:rPr>
          <w:rFonts w:hint="eastAsia" w:ascii="仿宋" w:hAnsi="仿宋" w:eastAsia="仿宋"/>
          <w:sz w:val="36"/>
          <w:lang w:eastAsia="zh-CN"/>
        </w:rPr>
        <w:t>二、单位预算单位构成</w:t>
      </w:r>
      <w:r>
        <w:rPr>
          <w:rFonts w:ascii="仿宋" w:hAnsi="仿宋" w:eastAsia="仿宋"/>
          <w:sz w:val="36"/>
          <w:lang w:eastAsia="zh-CN"/>
        </w:rPr>
        <w:t>……………………………</w:t>
      </w:r>
      <w:r>
        <w:rPr>
          <w:rFonts w:hint="eastAsia" w:ascii="仿宋" w:hAnsi="仿宋" w:eastAsia="仿宋"/>
          <w:sz w:val="36"/>
          <w:lang w:val="en-US" w:eastAsia="zh-CN"/>
        </w:rPr>
        <w:t>5</w:t>
      </w:r>
    </w:p>
    <w:p>
      <w:pPr>
        <w:pStyle w:val="2"/>
        <w:ind w:firstLine="360" w:firstLineChars="100"/>
        <w:rPr>
          <w:rFonts w:hint="default" w:ascii="仿宋" w:hAnsi="仿宋" w:eastAsia="仿宋"/>
          <w:sz w:val="36"/>
          <w:lang w:val="en-US" w:eastAsia="zh-CN"/>
        </w:rPr>
      </w:pPr>
      <w:r>
        <w:rPr>
          <w:rFonts w:hint="eastAsia" w:ascii="仿宋" w:hAnsi="仿宋" w:eastAsia="仿宋"/>
          <w:sz w:val="36"/>
          <w:lang w:eastAsia="zh-CN"/>
        </w:rPr>
        <w:t>三、单位主要工作任务</w:t>
      </w:r>
      <w:r>
        <w:rPr>
          <w:rFonts w:ascii="仿宋" w:hAnsi="仿宋" w:eastAsia="仿宋"/>
          <w:sz w:val="36"/>
          <w:lang w:eastAsia="zh-CN"/>
        </w:rPr>
        <w:t>……………………………</w:t>
      </w:r>
      <w:r>
        <w:rPr>
          <w:rFonts w:hint="eastAsia" w:ascii="仿宋" w:hAnsi="仿宋" w:eastAsia="仿宋"/>
          <w:sz w:val="36"/>
          <w:lang w:val="en-US" w:eastAsia="zh-CN"/>
        </w:rPr>
        <w:t>5</w:t>
      </w:r>
    </w:p>
    <w:p>
      <w:pPr>
        <w:pStyle w:val="2"/>
        <w:rPr>
          <w:rFonts w:hint="default" w:ascii="仿宋" w:hAnsi="仿宋" w:eastAsia="仿宋"/>
          <w:b/>
          <w:sz w:val="36"/>
          <w:lang w:val="en-US" w:eastAsia="zh-CN"/>
        </w:rPr>
      </w:pPr>
      <w:r>
        <w:rPr>
          <w:rFonts w:hint="eastAsia" w:ascii="仿宋" w:hAnsi="仿宋" w:eastAsia="仿宋"/>
          <w:b/>
          <w:sz w:val="36"/>
          <w:lang w:eastAsia="zh-CN"/>
        </w:rPr>
        <w:t>第二部分</w:t>
      </w:r>
      <w:r>
        <w:rPr>
          <w:rFonts w:ascii="仿宋" w:hAnsi="仿宋" w:eastAsia="仿宋"/>
          <w:b/>
          <w:sz w:val="36"/>
          <w:lang w:eastAsia="zh-CN"/>
        </w:rPr>
        <w:t xml:space="preserve"> </w:t>
      </w:r>
      <w:r>
        <w:rPr>
          <w:rFonts w:hint="eastAsia" w:ascii="仿宋" w:hAnsi="仿宋" w:eastAsia="仿宋"/>
          <w:b/>
          <w:sz w:val="36"/>
          <w:lang w:val="en-US" w:eastAsia="zh-CN"/>
        </w:rPr>
        <w:t>2025</w:t>
      </w:r>
      <w:r>
        <w:rPr>
          <w:rFonts w:hint="eastAsia" w:ascii="仿宋" w:hAnsi="仿宋" w:eastAsia="仿宋"/>
          <w:b/>
          <w:sz w:val="36"/>
          <w:lang w:eastAsia="zh-CN"/>
        </w:rPr>
        <w:t>年度单位预算表</w:t>
      </w:r>
      <w:r>
        <w:rPr>
          <w:rFonts w:ascii="仿宋" w:hAnsi="仿宋" w:eastAsia="仿宋"/>
          <w:sz w:val="36"/>
          <w:lang w:eastAsia="zh-CN"/>
        </w:rPr>
        <w:t>………………………</w:t>
      </w:r>
      <w:r>
        <w:rPr>
          <w:rFonts w:hint="eastAsia" w:ascii="仿宋" w:hAnsi="仿宋" w:eastAsia="仿宋"/>
          <w:sz w:val="36"/>
          <w:lang w:val="en-US" w:eastAsia="zh-CN"/>
        </w:rPr>
        <w:t>6</w:t>
      </w:r>
    </w:p>
    <w:p>
      <w:pPr>
        <w:pStyle w:val="2"/>
        <w:ind w:firstLine="360" w:firstLineChars="100"/>
        <w:rPr>
          <w:rFonts w:hint="default" w:ascii="仿宋" w:hAnsi="仿宋" w:eastAsia="仿宋"/>
          <w:sz w:val="36"/>
          <w:lang w:val="en-US" w:eastAsia="zh-CN"/>
        </w:rPr>
      </w:pPr>
      <w:r>
        <w:rPr>
          <w:rFonts w:hint="eastAsia" w:ascii="仿宋" w:hAnsi="仿宋" w:eastAsia="仿宋"/>
          <w:sz w:val="36"/>
          <w:lang w:eastAsia="zh-CN"/>
        </w:rPr>
        <w:t>一、收支预算总表</w:t>
      </w:r>
      <w:r>
        <w:rPr>
          <w:rFonts w:ascii="仿宋" w:hAnsi="仿宋" w:eastAsia="仿宋"/>
          <w:sz w:val="36"/>
          <w:lang w:eastAsia="zh-CN"/>
        </w:rPr>
        <w:t>…………………………………</w:t>
      </w:r>
      <w:r>
        <w:rPr>
          <w:rFonts w:hint="eastAsia" w:ascii="仿宋" w:hAnsi="仿宋" w:eastAsia="仿宋"/>
          <w:sz w:val="36"/>
          <w:lang w:val="en-US" w:eastAsia="zh-CN"/>
        </w:rPr>
        <w:t>7</w:t>
      </w:r>
    </w:p>
    <w:p>
      <w:pPr>
        <w:pStyle w:val="2"/>
        <w:ind w:firstLine="360" w:firstLineChars="100"/>
        <w:rPr>
          <w:rFonts w:hint="default" w:ascii="仿宋" w:hAnsi="仿宋" w:eastAsia="仿宋"/>
          <w:sz w:val="36"/>
          <w:lang w:val="en-US" w:eastAsia="zh-CN"/>
        </w:rPr>
      </w:pPr>
      <w:r>
        <w:rPr>
          <w:rFonts w:hint="eastAsia" w:ascii="仿宋" w:hAnsi="仿宋" w:eastAsia="仿宋"/>
          <w:sz w:val="36"/>
          <w:lang w:eastAsia="zh-CN"/>
        </w:rPr>
        <w:t>二、收入预算总表</w:t>
      </w:r>
      <w:r>
        <w:rPr>
          <w:rFonts w:ascii="仿宋" w:hAnsi="仿宋" w:eastAsia="仿宋"/>
          <w:sz w:val="36"/>
          <w:lang w:eastAsia="zh-CN"/>
        </w:rPr>
        <w:t>…………………………………</w:t>
      </w:r>
      <w:r>
        <w:rPr>
          <w:rFonts w:hint="eastAsia" w:ascii="仿宋" w:hAnsi="仿宋" w:eastAsia="仿宋"/>
          <w:sz w:val="36"/>
          <w:lang w:val="en-US" w:eastAsia="zh-CN"/>
        </w:rPr>
        <w:t>8</w:t>
      </w:r>
    </w:p>
    <w:p>
      <w:pPr>
        <w:pStyle w:val="2"/>
        <w:ind w:firstLine="360" w:firstLineChars="100"/>
        <w:rPr>
          <w:rFonts w:hint="default" w:ascii="仿宋" w:hAnsi="仿宋" w:eastAsia="仿宋"/>
          <w:sz w:val="36"/>
          <w:lang w:val="en-US" w:eastAsia="zh-CN"/>
        </w:rPr>
      </w:pPr>
      <w:r>
        <w:rPr>
          <w:rFonts w:hint="eastAsia" w:ascii="仿宋" w:hAnsi="仿宋" w:eastAsia="仿宋"/>
          <w:sz w:val="36"/>
          <w:lang w:eastAsia="zh-CN"/>
        </w:rPr>
        <w:t>三、支出预算总表</w:t>
      </w:r>
      <w:r>
        <w:rPr>
          <w:rFonts w:ascii="仿宋" w:hAnsi="仿宋" w:eastAsia="仿宋"/>
          <w:sz w:val="36"/>
          <w:lang w:eastAsia="zh-CN"/>
        </w:rPr>
        <w:t>…………………………………</w:t>
      </w:r>
      <w:r>
        <w:rPr>
          <w:rFonts w:hint="eastAsia" w:ascii="仿宋" w:hAnsi="仿宋" w:eastAsia="仿宋"/>
          <w:sz w:val="36"/>
          <w:lang w:val="en-US" w:eastAsia="zh-CN"/>
        </w:rPr>
        <w:t>9</w:t>
      </w:r>
    </w:p>
    <w:p>
      <w:pPr>
        <w:pStyle w:val="2"/>
        <w:ind w:firstLine="360" w:firstLineChars="100"/>
        <w:rPr>
          <w:rFonts w:hint="default" w:ascii="仿宋" w:hAnsi="仿宋" w:eastAsia="仿宋"/>
          <w:sz w:val="36"/>
          <w:lang w:val="en-US" w:eastAsia="zh-CN"/>
        </w:rPr>
      </w:pPr>
      <w:r>
        <w:rPr>
          <w:rFonts w:hint="eastAsia" w:ascii="仿宋" w:hAnsi="仿宋" w:eastAsia="仿宋"/>
          <w:sz w:val="36"/>
          <w:lang w:eastAsia="zh-CN"/>
        </w:rPr>
        <w:t>四、财政拨款收支预算总表</w:t>
      </w:r>
      <w:r>
        <w:rPr>
          <w:rFonts w:ascii="仿宋" w:hAnsi="仿宋" w:eastAsia="仿宋"/>
          <w:sz w:val="36"/>
          <w:lang w:eastAsia="zh-CN"/>
        </w:rPr>
        <w:t>………………………</w:t>
      </w:r>
      <w:r>
        <w:rPr>
          <w:rFonts w:hint="eastAsia" w:ascii="仿宋" w:hAnsi="仿宋" w:eastAsia="仿宋"/>
          <w:sz w:val="36"/>
          <w:lang w:val="en-US" w:eastAsia="zh-CN"/>
        </w:rPr>
        <w:t>9</w:t>
      </w:r>
    </w:p>
    <w:p>
      <w:pPr>
        <w:pStyle w:val="2"/>
        <w:ind w:firstLine="360" w:firstLineChars="100"/>
        <w:rPr>
          <w:rFonts w:hint="default" w:ascii="仿宋" w:hAnsi="仿宋" w:eastAsia="仿宋"/>
          <w:sz w:val="36"/>
          <w:lang w:val="en-US" w:eastAsia="zh-CN"/>
        </w:rPr>
      </w:pPr>
      <w:r>
        <w:rPr>
          <w:rFonts w:hint="eastAsia" w:ascii="仿宋" w:hAnsi="仿宋" w:eastAsia="仿宋"/>
          <w:sz w:val="36"/>
          <w:lang w:eastAsia="zh-CN"/>
        </w:rPr>
        <w:t>五、一般公共预算拨款支出预算表</w:t>
      </w:r>
      <w:r>
        <w:rPr>
          <w:rFonts w:ascii="仿宋" w:hAnsi="仿宋" w:eastAsia="仿宋"/>
          <w:sz w:val="36"/>
          <w:lang w:eastAsia="zh-CN"/>
        </w:rPr>
        <w:t>………………</w:t>
      </w:r>
      <w:r>
        <w:rPr>
          <w:rFonts w:hint="eastAsia" w:ascii="仿宋" w:hAnsi="仿宋" w:eastAsia="仿宋"/>
          <w:sz w:val="36"/>
          <w:lang w:val="en-US" w:eastAsia="zh-CN"/>
        </w:rPr>
        <w:t>11</w:t>
      </w:r>
    </w:p>
    <w:p>
      <w:pPr>
        <w:pStyle w:val="2"/>
        <w:ind w:firstLine="360" w:firstLineChars="100"/>
        <w:rPr>
          <w:rFonts w:hint="default" w:ascii="仿宋" w:hAnsi="仿宋" w:eastAsia="仿宋"/>
          <w:sz w:val="36"/>
          <w:lang w:val="en-US" w:eastAsia="zh-CN"/>
        </w:rPr>
      </w:pPr>
      <w:r>
        <w:rPr>
          <w:rFonts w:hint="eastAsia" w:ascii="仿宋" w:hAnsi="仿宋" w:eastAsia="仿宋"/>
          <w:sz w:val="36"/>
          <w:lang w:eastAsia="zh-CN"/>
        </w:rPr>
        <w:t>六、政府性基金预算拨款支出预算表</w:t>
      </w:r>
      <w:r>
        <w:rPr>
          <w:rFonts w:ascii="仿宋" w:hAnsi="仿宋" w:eastAsia="仿宋"/>
          <w:sz w:val="36"/>
          <w:lang w:eastAsia="zh-CN"/>
        </w:rPr>
        <w:t>……………</w:t>
      </w:r>
      <w:r>
        <w:rPr>
          <w:rFonts w:hint="eastAsia" w:ascii="仿宋" w:hAnsi="仿宋" w:eastAsia="仿宋"/>
          <w:sz w:val="36"/>
          <w:lang w:val="en-US" w:eastAsia="zh-CN"/>
        </w:rPr>
        <w:t>11</w:t>
      </w:r>
    </w:p>
    <w:p>
      <w:pPr>
        <w:pStyle w:val="2"/>
        <w:ind w:firstLine="360" w:firstLineChars="100"/>
        <w:rPr>
          <w:rFonts w:hint="default" w:ascii="仿宋" w:hAnsi="仿宋" w:eastAsia="仿宋"/>
          <w:sz w:val="36"/>
          <w:lang w:val="en-US" w:eastAsia="zh-CN"/>
        </w:rPr>
      </w:pPr>
      <w:r>
        <w:rPr>
          <w:rFonts w:hint="eastAsia" w:ascii="仿宋" w:hAnsi="仿宋" w:eastAsia="仿宋"/>
          <w:sz w:val="36"/>
          <w:lang w:eastAsia="zh-CN"/>
        </w:rPr>
        <w:t>七、国有资本经营预算拨款支出预算表…………</w:t>
      </w:r>
      <w:r>
        <w:rPr>
          <w:rFonts w:hint="eastAsia" w:ascii="仿宋" w:hAnsi="仿宋" w:eastAsia="仿宋"/>
          <w:sz w:val="36"/>
          <w:lang w:val="en-US" w:eastAsia="zh-CN"/>
        </w:rPr>
        <w:t>12</w:t>
      </w:r>
    </w:p>
    <w:p>
      <w:pPr>
        <w:pStyle w:val="2"/>
        <w:ind w:firstLine="360" w:firstLineChars="100"/>
        <w:rPr>
          <w:rFonts w:hint="default" w:ascii="仿宋" w:hAnsi="仿宋" w:eastAsia="仿宋"/>
          <w:sz w:val="36"/>
          <w:lang w:val="en-US" w:eastAsia="zh-CN"/>
        </w:rPr>
      </w:pPr>
      <w:r>
        <w:rPr>
          <w:rFonts w:hint="eastAsia" w:ascii="仿宋" w:hAnsi="仿宋" w:eastAsia="仿宋"/>
          <w:sz w:val="36"/>
          <w:lang w:eastAsia="zh-CN"/>
        </w:rPr>
        <w:t>八、一般公共预算支出经济分类情况表</w:t>
      </w:r>
      <w:r>
        <w:rPr>
          <w:rFonts w:ascii="仿宋" w:hAnsi="仿宋" w:eastAsia="仿宋"/>
          <w:sz w:val="36"/>
          <w:lang w:eastAsia="zh-CN"/>
        </w:rPr>
        <w:t>…………</w:t>
      </w:r>
      <w:r>
        <w:rPr>
          <w:rFonts w:hint="eastAsia" w:ascii="仿宋" w:hAnsi="仿宋" w:eastAsia="仿宋"/>
          <w:sz w:val="36"/>
          <w:lang w:val="en-US" w:eastAsia="zh-CN"/>
        </w:rPr>
        <w:t>13</w:t>
      </w:r>
    </w:p>
    <w:p>
      <w:pPr>
        <w:pStyle w:val="2"/>
        <w:ind w:firstLine="360" w:firstLineChars="100"/>
        <w:rPr>
          <w:rFonts w:hint="default" w:ascii="仿宋" w:hAnsi="仿宋" w:eastAsia="仿宋"/>
          <w:sz w:val="36"/>
          <w:lang w:val="en-US" w:eastAsia="zh-CN"/>
        </w:rPr>
      </w:pPr>
      <w:r>
        <w:rPr>
          <w:rFonts w:hint="eastAsia" w:ascii="仿宋" w:hAnsi="仿宋" w:eastAsia="仿宋"/>
          <w:sz w:val="36"/>
          <w:lang w:eastAsia="zh-CN"/>
        </w:rPr>
        <w:t>九、一般公共预算基本支出经济分类情况表</w:t>
      </w:r>
      <w:r>
        <w:rPr>
          <w:rFonts w:ascii="仿宋" w:hAnsi="仿宋" w:eastAsia="仿宋"/>
          <w:sz w:val="36"/>
          <w:lang w:eastAsia="zh-CN"/>
        </w:rPr>
        <w:t>……</w:t>
      </w:r>
      <w:r>
        <w:rPr>
          <w:rFonts w:hint="eastAsia" w:ascii="仿宋" w:hAnsi="仿宋" w:eastAsia="仿宋"/>
          <w:sz w:val="36"/>
          <w:lang w:val="en-US" w:eastAsia="zh-CN"/>
        </w:rPr>
        <w:t>13</w:t>
      </w:r>
    </w:p>
    <w:p>
      <w:pPr>
        <w:pStyle w:val="2"/>
        <w:ind w:firstLine="360" w:firstLineChars="100"/>
        <w:rPr>
          <w:rFonts w:hint="default" w:ascii="仿宋" w:hAnsi="仿宋" w:eastAsia="仿宋"/>
          <w:sz w:val="36"/>
          <w:lang w:val="en-US" w:eastAsia="zh-CN"/>
        </w:rPr>
      </w:pPr>
      <w:r>
        <w:rPr>
          <w:rFonts w:hint="eastAsia" w:ascii="仿宋" w:hAnsi="仿宋" w:eastAsia="仿宋"/>
          <w:sz w:val="36"/>
          <w:lang w:eastAsia="zh-CN"/>
        </w:rPr>
        <w:t>十、一般公共预算“三公”经费支出预算表</w:t>
      </w:r>
      <w:r>
        <w:rPr>
          <w:rFonts w:ascii="仿宋" w:hAnsi="仿宋" w:eastAsia="仿宋"/>
          <w:sz w:val="36"/>
          <w:lang w:eastAsia="zh-CN"/>
        </w:rPr>
        <w:t>……</w:t>
      </w:r>
      <w:r>
        <w:rPr>
          <w:rFonts w:hint="eastAsia" w:ascii="仿宋" w:hAnsi="仿宋" w:eastAsia="仿宋"/>
          <w:sz w:val="36"/>
          <w:lang w:val="en-US" w:eastAsia="zh-CN"/>
        </w:rPr>
        <w:t>16</w:t>
      </w:r>
    </w:p>
    <w:p>
      <w:pPr>
        <w:widowControl/>
        <w:rPr>
          <w:rFonts w:hint="default" w:ascii="仿宋" w:hAnsi="仿宋" w:eastAsia="仿宋"/>
          <w:b/>
          <w:sz w:val="40"/>
          <w:lang w:val="en-US" w:eastAsia="zh-CN"/>
        </w:rPr>
      </w:pPr>
      <w:r>
        <w:rPr>
          <w:rFonts w:hint="eastAsia" w:ascii="仿宋" w:hAnsi="仿宋" w:eastAsia="仿宋"/>
          <w:b/>
          <w:sz w:val="40"/>
        </w:rPr>
        <w:t>第三部分</w:t>
      </w:r>
      <w:r>
        <w:rPr>
          <w:rFonts w:ascii="仿宋" w:hAnsi="仿宋" w:eastAsia="仿宋"/>
          <w:b/>
          <w:sz w:val="40"/>
        </w:rPr>
        <w:t xml:space="preserve"> </w:t>
      </w:r>
      <w:r>
        <w:rPr>
          <w:rFonts w:hint="eastAsia" w:ascii="仿宋" w:hAnsi="仿宋" w:eastAsia="仿宋"/>
          <w:b/>
          <w:sz w:val="40"/>
          <w:lang w:val="en-US" w:eastAsia="zh-CN"/>
        </w:rPr>
        <w:t>2025</w:t>
      </w:r>
      <w:r>
        <w:rPr>
          <w:rFonts w:hint="eastAsia" w:ascii="仿宋" w:hAnsi="仿宋" w:eastAsia="仿宋"/>
          <w:b/>
          <w:sz w:val="40"/>
        </w:rPr>
        <w:t>年度</w:t>
      </w:r>
      <w:r>
        <w:rPr>
          <w:rFonts w:hint="eastAsia" w:ascii="仿宋" w:hAnsi="仿宋" w:eastAsia="仿宋"/>
          <w:b/>
          <w:sz w:val="40"/>
          <w:lang w:eastAsia="zh-CN"/>
        </w:rPr>
        <w:t>单位</w:t>
      </w:r>
      <w:r>
        <w:rPr>
          <w:rFonts w:hint="eastAsia" w:ascii="仿宋" w:hAnsi="仿宋" w:eastAsia="仿宋"/>
          <w:b/>
          <w:sz w:val="40"/>
        </w:rPr>
        <w:t>预算情况说明</w:t>
      </w:r>
      <w:r>
        <w:rPr>
          <w:rFonts w:ascii="仿宋" w:hAnsi="仿宋" w:eastAsia="仿宋"/>
          <w:sz w:val="36"/>
        </w:rPr>
        <w:t>………</w:t>
      </w:r>
      <w:r>
        <w:rPr>
          <w:rFonts w:hint="eastAsia" w:ascii="仿宋" w:hAnsi="仿宋" w:eastAsia="仿宋"/>
          <w:sz w:val="36"/>
          <w:lang w:val="en-US" w:eastAsia="zh-CN"/>
        </w:rPr>
        <w:t>18</w:t>
      </w:r>
    </w:p>
    <w:p>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一、预算收支总体情况</w:t>
      </w:r>
      <w:r>
        <w:rPr>
          <w:rFonts w:ascii="仿宋" w:hAnsi="仿宋" w:eastAsia="仿宋"/>
          <w:sz w:val="36"/>
        </w:rPr>
        <w:t>…………………</w:t>
      </w:r>
      <w:r>
        <w:rPr>
          <w:rFonts w:ascii="仿宋" w:hAnsi="仿宋" w:eastAsia="仿宋" w:cs="Times New Roman"/>
          <w:kern w:val="0"/>
          <w:sz w:val="36"/>
          <w:szCs w:val="20"/>
        </w:rPr>
        <w:t>…</w:t>
      </w:r>
      <w:r>
        <w:rPr>
          <w:rFonts w:ascii="仿宋" w:hAnsi="仿宋" w:eastAsia="仿宋"/>
          <w:sz w:val="36"/>
        </w:rPr>
        <w:t>………</w:t>
      </w:r>
      <w:r>
        <w:rPr>
          <w:rFonts w:hint="eastAsia" w:ascii="仿宋" w:hAnsi="仿宋" w:eastAsia="仿宋"/>
          <w:sz w:val="36"/>
          <w:lang w:val="en-US" w:eastAsia="zh-CN"/>
        </w:rPr>
        <w:t>19</w:t>
      </w:r>
    </w:p>
    <w:p>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二、一般公共预算拨款支出情况</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19</w:t>
      </w:r>
    </w:p>
    <w:p>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三、政府性基金预算拨款支出情况</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20</w:t>
      </w:r>
    </w:p>
    <w:p>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四、国有资本经营预算拨款支出情况……………</w:t>
      </w:r>
      <w:r>
        <w:rPr>
          <w:rFonts w:hint="eastAsia" w:ascii="仿宋" w:hAnsi="仿宋" w:eastAsia="仿宋" w:cs="Times New Roman"/>
          <w:kern w:val="0"/>
          <w:sz w:val="36"/>
          <w:szCs w:val="20"/>
          <w:lang w:val="en-US" w:eastAsia="zh-CN"/>
        </w:rPr>
        <w:t>20</w:t>
      </w:r>
    </w:p>
    <w:p>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五、一般公共预算拨款基本支出情况</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20</w:t>
      </w:r>
    </w:p>
    <w:p>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六、一般公共预算“三公”经费支出情况</w:t>
      </w:r>
      <w:r>
        <w:rPr>
          <w:rFonts w:ascii="仿宋" w:hAnsi="仿宋" w:eastAsia="仿宋" w:cs="Times New Roman"/>
          <w:kern w:val="0"/>
          <w:sz w:val="36"/>
          <w:szCs w:val="20"/>
        </w:rPr>
        <w:t>…</w:t>
      </w:r>
      <w:r>
        <w:rPr>
          <w:rFonts w:hint="eastAsia" w:ascii="仿宋" w:hAnsi="仿宋" w:eastAsia="仿宋" w:cs="Times New Roman"/>
          <w:kern w:val="0"/>
          <w:sz w:val="36"/>
          <w:szCs w:val="20"/>
        </w:rPr>
        <w:t>…</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21</w:t>
      </w:r>
    </w:p>
    <w:p>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七、预算绩效目标情况</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21</w:t>
      </w:r>
    </w:p>
    <w:p>
      <w:pPr>
        <w:widowControl/>
        <w:ind w:firstLine="360" w:firstLineChars="100"/>
        <w:rPr>
          <w:rFonts w:hint="default" w:ascii="仿宋" w:hAnsi="仿宋" w:eastAsia="仿宋" w:cs="Times New Roman"/>
          <w:kern w:val="0"/>
          <w:sz w:val="36"/>
          <w:szCs w:val="20"/>
          <w:lang w:val="en-US" w:eastAsia="zh-CN"/>
        </w:rPr>
      </w:pPr>
      <w:r>
        <w:rPr>
          <w:rFonts w:hint="eastAsia" w:ascii="仿宋" w:hAnsi="仿宋" w:eastAsia="仿宋" w:cs="Times New Roman"/>
          <w:kern w:val="0"/>
          <w:sz w:val="36"/>
          <w:szCs w:val="20"/>
        </w:rPr>
        <w:t>八、其他重要事项说明</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21</w:t>
      </w:r>
    </w:p>
    <w:p>
      <w:pPr>
        <w:pStyle w:val="2"/>
        <w:spacing w:before="3"/>
        <w:rPr>
          <w:rFonts w:hint="default" w:ascii="仿宋" w:hAnsi="仿宋" w:eastAsia="仿宋"/>
          <w:sz w:val="26"/>
          <w:lang w:val="en-US" w:eastAsia="zh-CN"/>
        </w:rPr>
      </w:pPr>
      <w:r>
        <w:rPr>
          <w:rFonts w:hint="eastAsia" w:ascii="仿宋" w:hAnsi="仿宋" w:eastAsia="仿宋"/>
          <w:b/>
          <w:sz w:val="40"/>
          <w:lang w:eastAsia="zh-CN"/>
        </w:rPr>
        <w:t>第四部分</w:t>
      </w:r>
      <w:r>
        <w:rPr>
          <w:rFonts w:ascii="仿宋" w:hAnsi="仿宋" w:eastAsia="仿宋"/>
          <w:b/>
          <w:sz w:val="40"/>
          <w:lang w:eastAsia="zh-CN"/>
        </w:rPr>
        <w:t xml:space="preserve"> </w:t>
      </w:r>
      <w:r>
        <w:rPr>
          <w:rFonts w:hint="eastAsia" w:ascii="仿宋" w:hAnsi="仿宋" w:eastAsia="仿宋"/>
          <w:b/>
          <w:sz w:val="40"/>
          <w:lang w:eastAsia="zh-CN"/>
        </w:rPr>
        <w:t>名词解释</w:t>
      </w:r>
      <w:r>
        <w:rPr>
          <w:rFonts w:ascii="仿宋" w:hAnsi="仿宋" w:eastAsia="仿宋"/>
          <w:sz w:val="36"/>
          <w:lang w:eastAsia="zh-CN"/>
        </w:rPr>
        <w:t>………………………………</w:t>
      </w:r>
      <w:r>
        <w:rPr>
          <w:rFonts w:hint="eastAsia" w:ascii="仿宋" w:hAnsi="仿宋" w:eastAsia="仿宋"/>
          <w:sz w:val="36"/>
          <w:lang w:val="en-US" w:eastAsia="zh-CN"/>
        </w:rPr>
        <w:t>23</w:t>
      </w:r>
    </w:p>
    <w:p>
      <w:pPr>
        <w:widowControl/>
      </w:pPr>
      <w:r>
        <w:tab/>
      </w:r>
    </w:p>
    <w:p>
      <w:pPr>
        <w:widowControl/>
        <w:spacing w:line="240" w:lineRule="auto"/>
        <w:jc w:val="left"/>
        <w:rPr>
          <w:rFonts w:ascii="黑体" w:hAnsi="黑体" w:eastAsia="黑体" w:cs="Times New Roman"/>
          <w:kern w:val="0"/>
          <w:sz w:val="36"/>
          <w:szCs w:val="36"/>
        </w:rPr>
      </w:pPr>
      <w:r>
        <w:rPr>
          <w:rFonts w:ascii="黑体" w:hAnsi="黑体" w:eastAsia="黑体"/>
          <w:sz w:val="36"/>
          <w:szCs w:val="36"/>
        </w:rPr>
        <w:br w:type="page"/>
      </w:r>
      <w:bookmarkStart w:id="0" w:name="_GoBack"/>
      <w:bookmarkEnd w:id="0"/>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rPr>
          <w:rFonts w:ascii="黑体" w:hAnsi="黑体" w:eastAsia="黑体"/>
          <w:sz w:val="56"/>
          <w:szCs w:val="36"/>
          <w:lang w:eastAsia="zh-CN"/>
        </w:rPr>
      </w:pPr>
      <w:r>
        <w:rPr>
          <w:rFonts w:hint="eastAsia" w:ascii="黑体" w:hAnsi="黑体" w:eastAsia="黑体"/>
          <w:sz w:val="56"/>
          <w:szCs w:val="36"/>
          <w:lang w:eastAsia="zh-CN"/>
        </w:rPr>
        <w:t>第一部分</w:t>
      </w:r>
      <w:r>
        <w:rPr>
          <w:rFonts w:ascii="黑体" w:hAnsi="黑体" w:eastAsia="黑体"/>
          <w:sz w:val="56"/>
          <w:szCs w:val="36"/>
          <w:lang w:eastAsia="zh-CN"/>
        </w:rPr>
        <w:t xml:space="preserve"> </w:t>
      </w:r>
    </w:p>
    <w:p>
      <w:pPr>
        <w:pStyle w:val="2"/>
        <w:jc w:val="center"/>
        <w:rPr>
          <w:rFonts w:ascii="黑体" w:hAnsi="黑体" w:eastAsia="黑体"/>
          <w:sz w:val="56"/>
          <w:szCs w:val="36"/>
          <w:lang w:eastAsia="zh-CN"/>
        </w:rPr>
      </w:pPr>
      <w:r>
        <w:rPr>
          <w:rFonts w:hint="eastAsia" w:ascii="黑体" w:hAnsi="黑体" w:eastAsia="黑体"/>
          <w:sz w:val="56"/>
          <w:szCs w:val="36"/>
          <w:lang w:eastAsia="zh-CN"/>
        </w:rPr>
        <w:t>单位概况</w:t>
      </w:r>
    </w:p>
    <w:p>
      <w:pPr>
        <w:pStyle w:val="2"/>
        <w:rPr>
          <w:rFonts w:ascii="黑体" w:hAnsi="黑体" w:eastAsia="黑体"/>
          <w:sz w:val="36"/>
          <w:szCs w:val="36"/>
          <w:lang w:eastAsia="zh-CN"/>
        </w:rPr>
      </w:pPr>
    </w:p>
    <w:p>
      <w:pPr>
        <w:pStyle w:val="2"/>
        <w:rPr>
          <w:rFonts w:ascii="黑体" w:hAnsi="黑体" w:eastAsia="黑体" w:cstheme="minorBidi"/>
          <w:kern w:val="2"/>
          <w:sz w:val="32"/>
          <w:szCs w:val="32"/>
          <w:lang w:eastAsia="zh-CN"/>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p>
    <w:p>
      <w:pPr>
        <w:pStyle w:val="2"/>
        <w:ind w:firstLine="640" w:firstLineChars="200"/>
        <w:rPr>
          <w:rFonts w:ascii="黑体" w:hAnsi="黑体" w:eastAsia="黑体" w:cstheme="minorBidi"/>
          <w:kern w:val="2"/>
          <w:sz w:val="32"/>
          <w:szCs w:val="32"/>
          <w:lang w:eastAsia="zh-CN"/>
        </w:rPr>
      </w:pPr>
      <w:r>
        <w:rPr>
          <w:rFonts w:hint="eastAsia" w:ascii="黑体" w:hAnsi="黑体" w:eastAsia="黑体" w:cstheme="minorBidi"/>
          <w:kern w:val="2"/>
          <w:sz w:val="32"/>
          <w:szCs w:val="32"/>
          <w:lang w:eastAsia="zh-CN"/>
        </w:rPr>
        <w:t>一、单位主要职责</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_GB2312" w:hAnsi="仿宋_GB2312" w:eastAsia="仿宋_GB2312" w:cs="仿宋_GB2312"/>
          <w:b w:val="0"/>
          <w:bCs w:val="0"/>
          <w:sz w:val="32"/>
          <w:szCs w:val="32"/>
          <w:lang w:val="en-US" w:eastAsia="zh-CN"/>
        </w:rPr>
        <w:t>漳平市殡葬服务所</w:t>
      </w:r>
      <w:r>
        <w:rPr>
          <w:rFonts w:hint="eastAsia" w:ascii="仿宋" w:hAnsi="仿宋" w:eastAsia="仿宋"/>
          <w:sz w:val="32"/>
          <w:szCs w:val="32"/>
        </w:rPr>
        <w:t>的主要职责是：</w:t>
      </w:r>
    </w:p>
    <w:p>
      <w:pPr>
        <w:spacing w:line="600" w:lineRule="exact"/>
        <w:ind w:firstLine="640" w:firstLineChars="200"/>
        <w:rPr>
          <w:rFonts w:ascii="仿宋" w:hAnsi="仿宋" w:eastAsia="仿宋"/>
          <w:sz w:val="32"/>
          <w:szCs w:val="32"/>
        </w:rPr>
      </w:pPr>
      <w:r>
        <w:rPr>
          <w:rFonts w:hint="eastAsia" w:ascii="仿宋" w:hAnsi="仿宋" w:eastAsia="仿宋"/>
          <w:sz w:val="32"/>
          <w:szCs w:val="32"/>
          <w:lang w:val="en-US" w:eastAsia="zh-CN"/>
        </w:rPr>
        <w:t>（一）</w:t>
      </w:r>
      <w:r>
        <w:rPr>
          <w:rFonts w:hint="eastAsia" w:ascii="仿宋_GB2312" w:hAnsi="仿宋_GB2312" w:eastAsia="仿宋_GB2312" w:cs="仿宋_GB2312"/>
          <w:b w:val="0"/>
          <w:bCs w:val="0"/>
          <w:sz w:val="32"/>
          <w:szCs w:val="32"/>
          <w:lang w:val="en-US" w:eastAsia="zh-CN"/>
        </w:rPr>
        <w:t>负责辖区内有关殡葬政策法规的宣传等工作</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lang w:val="en-US" w:eastAsia="zh-CN"/>
        </w:rPr>
        <w:t>（二）</w:t>
      </w:r>
      <w:r>
        <w:rPr>
          <w:rFonts w:hint="eastAsia" w:ascii="仿宋_GB2312" w:hAnsi="仿宋_GB2312" w:eastAsia="仿宋_GB2312" w:cs="仿宋_GB2312"/>
          <w:b w:val="0"/>
          <w:bCs w:val="0"/>
          <w:sz w:val="32"/>
          <w:szCs w:val="32"/>
          <w:lang w:val="en-US" w:eastAsia="zh-CN"/>
        </w:rPr>
        <w:t>负责辖区内有殡葬和殡葬改革工作的贯彻落实，协助拟订殡葬改革规划</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（三）</w:t>
      </w:r>
      <w:r>
        <w:rPr>
          <w:rFonts w:hint="eastAsia" w:ascii="仿宋_GB2312" w:hAnsi="仿宋_GB2312" w:eastAsia="仿宋_GB2312" w:cs="仿宋_GB2312"/>
          <w:b w:val="0"/>
          <w:bCs w:val="0"/>
          <w:sz w:val="32"/>
          <w:szCs w:val="32"/>
          <w:lang w:val="en-US" w:eastAsia="zh-CN"/>
        </w:rPr>
        <w:t>负责协调处理辖区内殡葬服务单位相关工作</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（四）</w:t>
      </w:r>
      <w:r>
        <w:rPr>
          <w:rFonts w:hint="eastAsia" w:ascii="仿宋_GB2312" w:hAnsi="仿宋_GB2312" w:eastAsia="仿宋_GB2312" w:cs="仿宋_GB2312"/>
          <w:b w:val="0"/>
          <w:bCs w:val="0"/>
          <w:sz w:val="32"/>
          <w:szCs w:val="32"/>
          <w:lang w:val="en-US" w:eastAsia="zh-CN"/>
        </w:rPr>
        <w:t>负责倡导宣传健康文明办丧事的新风尚工作，协助乡镇（街道）制止和处理丧事中的封建迷信活动。</w:t>
      </w:r>
    </w:p>
    <w:p>
      <w:pPr>
        <w:pStyle w:val="2"/>
        <w:ind w:firstLine="640" w:firstLineChars="200"/>
        <w:rPr>
          <w:rFonts w:ascii="黑体" w:hAnsi="黑体" w:eastAsia="黑体" w:cstheme="minorBidi"/>
          <w:kern w:val="2"/>
          <w:sz w:val="32"/>
          <w:szCs w:val="32"/>
          <w:lang w:eastAsia="zh-CN"/>
        </w:rPr>
      </w:pPr>
      <w:r>
        <w:rPr>
          <w:rFonts w:hint="eastAsia" w:ascii="黑体" w:hAnsi="黑体" w:eastAsia="黑体" w:cstheme="minorBidi"/>
          <w:kern w:val="2"/>
          <w:sz w:val="32"/>
          <w:szCs w:val="32"/>
          <w:lang w:eastAsia="zh-CN"/>
        </w:rPr>
        <w:t>二、单位预算单位构成</w:t>
      </w:r>
    </w:p>
    <w:p>
      <w:pPr>
        <w:tabs>
          <w:tab w:val="left" w:pos="7513"/>
        </w:tabs>
        <w:adjustRightInd w:val="0"/>
        <w:snapToGrid w:val="0"/>
        <w:spacing w:line="600" w:lineRule="exact"/>
        <w:ind w:firstLine="640" w:firstLineChars="200"/>
        <w:rPr>
          <w:rFonts w:ascii="楷体" w:hAnsi="楷体" w:eastAsia="楷体" w:cs="仿宋_GB2312"/>
          <w:sz w:val="32"/>
          <w:szCs w:val="32"/>
        </w:rPr>
      </w:pPr>
      <w:r>
        <w:rPr>
          <w:rFonts w:hint="eastAsia" w:ascii="楷体" w:hAnsi="楷体" w:eastAsia="楷体" w:cs="仿宋_GB2312"/>
          <w:sz w:val="32"/>
          <w:szCs w:val="32"/>
        </w:rPr>
        <w:t>本</w:t>
      </w:r>
      <w:r>
        <w:rPr>
          <w:rFonts w:hint="eastAsia" w:ascii="楷体" w:hAnsi="楷体" w:eastAsia="楷体" w:cs="仿宋_GB2312"/>
          <w:sz w:val="32"/>
          <w:szCs w:val="32"/>
          <w:lang w:eastAsia="zh-CN"/>
        </w:rPr>
        <w:t>单位</w:t>
      </w:r>
      <w:r>
        <w:rPr>
          <w:rFonts w:hint="eastAsia" w:ascii="楷体" w:hAnsi="楷体" w:eastAsia="楷体" w:cs="仿宋_GB2312"/>
          <w:sz w:val="32"/>
          <w:szCs w:val="32"/>
        </w:rPr>
        <w:t>无下属单位。</w:t>
      </w:r>
    </w:p>
    <w:p>
      <w:pPr>
        <w:tabs>
          <w:tab w:val="left" w:pos="7513"/>
        </w:tabs>
        <w:adjustRightInd w:val="0"/>
        <w:snapToGrid w:val="0"/>
        <w:spacing w:line="600" w:lineRule="exact"/>
        <w:rPr>
          <w:rFonts w:ascii="黑体" w:hAnsi="黑体" w:eastAsia="黑体"/>
          <w:sz w:val="32"/>
          <w:szCs w:val="32"/>
        </w:rPr>
      </w:pPr>
      <w:r>
        <w:rPr>
          <w:rFonts w:hint="eastAsia" w:cs="Times New Roman" w:asciiTheme="majorEastAsia" w:hAnsiTheme="majorEastAsia" w:eastAsiaTheme="majorEastAsia"/>
          <w:kern w:val="0"/>
          <w:sz w:val="36"/>
          <w:szCs w:val="20"/>
        </w:rPr>
        <w:t xml:space="preserve">    </w:t>
      </w:r>
      <w:r>
        <w:rPr>
          <w:rFonts w:hint="eastAsia" w:ascii="黑体" w:hAnsi="黑体" w:eastAsia="黑体"/>
          <w:sz w:val="32"/>
          <w:szCs w:val="32"/>
        </w:rPr>
        <w:t>三、</w:t>
      </w:r>
      <w:r>
        <w:rPr>
          <w:rFonts w:hint="eastAsia" w:ascii="黑体" w:hAnsi="黑体" w:eastAsia="黑体"/>
          <w:sz w:val="32"/>
          <w:szCs w:val="32"/>
          <w:lang w:eastAsia="zh-CN"/>
        </w:rPr>
        <w:t>单位</w:t>
      </w:r>
      <w:r>
        <w:rPr>
          <w:rFonts w:hint="eastAsia" w:ascii="黑体" w:hAnsi="黑体" w:eastAsia="黑体"/>
          <w:sz w:val="32"/>
          <w:szCs w:val="32"/>
        </w:rPr>
        <w:t>主要工作任务</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lang w:val="en-US" w:eastAsia="zh-CN"/>
        </w:rPr>
        <w:t>2025</w:t>
      </w:r>
      <w:r>
        <w:rPr>
          <w:rFonts w:hint="eastAsia" w:ascii="仿宋" w:hAnsi="仿宋" w:eastAsia="仿宋"/>
          <w:sz w:val="32"/>
          <w:szCs w:val="32"/>
        </w:rPr>
        <w:t>年，</w:t>
      </w:r>
      <w:r>
        <w:rPr>
          <w:rFonts w:hint="eastAsia" w:ascii="仿宋_GB2312" w:hAnsi="仿宋_GB2312" w:eastAsia="仿宋_GB2312" w:cs="仿宋_GB2312"/>
          <w:b w:val="0"/>
          <w:bCs w:val="0"/>
          <w:sz w:val="32"/>
          <w:szCs w:val="32"/>
          <w:lang w:val="en-US" w:eastAsia="zh-CN"/>
        </w:rPr>
        <w:t>漳平市殡葬服务所</w:t>
      </w:r>
      <w:r>
        <w:rPr>
          <w:rFonts w:hint="eastAsia" w:ascii="仿宋" w:hAnsi="仿宋" w:eastAsia="仿宋"/>
          <w:sz w:val="32"/>
          <w:szCs w:val="32"/>
        </w:rPr>
        <w:t>主要任务是：</w:t>
      </w:r>
      <w:r>
        <w:rPr>
          <w:rFonts w:hint="eastAsia" w:ascii="仿宋_GB2312" w:hAnsi="仿宋_GB2312" w:eastAsia="仿宋_GB2312" w:cs="仿宋_GB2312"/>
          <w:sz w:val="32"/>
          <w:szCs w:val="32"/>
        </w:rPr>
        <w:t>定期到漳平市和平镇安坑公墓检查卫生、环境、道路及墓区内安全问题</w:t>
      </w:r>
      <w:r>
        <w:rPr>
          <w:rFonts w:hint="eastAsia" w:ascii="仿宋" w:hAnsi="仿宋" w:eastAsia="仿宋"/>
          <w:sz w:val="32"/>
          <w:szCs w:val="32"/>
        </w:rPr>
        <w:t>。围绕上述任务，重点抓好以下工作：</w:t>
      </w:r>
    </w:p>
    <w:p>
      <w:pPr>
        <w:pStyle w:val="15"/>
        <w:keepNext w:val="0"/>
        <w:keepLines w:val="0"/>
        <w:pageBreakBefore w:val="0"/>
        <w:kinsoku/>
        <w:wordWrap/>
        <w:overflowPunct/>
        <w:topLinePunct w:val="0"/>
        <w:autoSpaceDE/>
        <w:autoSpaceDN/>
        <w:bidi w:val="0"/>
        <w:adjustRightInd/>
        <w:snapToGrid/>
        <w:spacing w:line="560" w:lineRule="exact"/>
        <w:ind w:left="638" w:leftChars="304"/>
        <w:textAlignment w:val="auto"/>
        <w:rPr>
          <w:rFonts w:ascii="仿宋_GB2312" w:eastAsia="仿宋_GB2312"/>
          <w:sz w:val="32"/>
          <w:szCs w:val="32"/>
        </w:rPr>
      </w:pPr>
      <w:r>
        <w:rPr>
          <w:rFonts w:hint="eastAsia" w:ascii="仿宋" w:hAnsi="仿宋" w:eastAsia="仿宋"/>
          <w:sz w:val="32"/>
          <w:szCs w:val="32"/>
          <w:lang w:val="en-US" w:eastAsia="zh-CN"/>
        </w:rPr>
        <w:t>（一）</w:t>
      </w:r>
      <w:r>
        <w:rPr>
          <w:rFonts w:hint="eastAsia" w:ascii="仿宋_GB2312" w:eastAsia="仿宋_GB2312"/>
          <w:sz w:val="32"/>
          <w:szCs w:val="32"/>
          <w:lang w:eastAsia="zh-CN"/>
        </w:rPr>
        <w:t>继续</w:t>
      </w:r>
      <w:r>
        <w:rPr>
          <w:rFonts w:hint="eastAsia" w:ascii="仿宋_GB2312" w:eastAsia="仿宋_GB2312"/>
          <w:sz w:val="32"/>
          <w:szCs w:val="32"/>
        </w:rPr>
        <w:t>开展殡葬行业职业培训，加强殡葬服务窗口建设。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 w:hAnsi="仿宋" w:eastAsia="仿宋"/>
          <w:sz w:val="32"/>
          <w:szCs w:val="32"/>
          <w:lang w:val="en-US" w:eastAsia="zh-CN"/>
        </w:rPr>
        <w:t>（二）</w:t>
      </w:r>
      <w:r>
        <w:rPr>
          <w:rFonts w:hint="eastAsia" w:ascii="仿宋_GB2312" w:eastAsia="仿宋_GB2312"/>
          <w:sz w:val="32"/>
          <w:szCs w:val="32"/>
        </w:rPr>
        <w:t>加强殡葬理论和殡葬文化研究，推进殡葬科技创新、殡葬文化建设和人才队伍建设。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 w:hAnsi="仿宋" w:eastAsia="仿宋"/>
          <w:sz w:val="32"/>
          <w:szCs w:val="32"/>
          <w:lang w:val="en-US" w:eastAsia="zh-CN"/>
        </w:rPr>
        <w:t>（三）</w:t>
      </w:r>
      <w:r>
        <w:rPr>
          <w:rFonts w:hint="eastAsia" w:ascii="仿宋_GB2312" w:eastAsia="仿宋_GB2312"/>
          <w:sz w:val="32"/>
          <w:szCs w:val="32"/>
        </w:rPr>
        <w:t>不断创新殡葬服务模式，提高公共服务能力，加强行风建设和纠风工作，开展诚信、优质服务，满足人民群众基本殡葬需求。</w:t>
      </w:r>
    </w:p>
    <w:p>
      <w:pPr>
        <w:ind w:firstLine="640" w:firstLineChars="200"/>
        <w:rPr>
          <w:rFonts w:ascii="仿宋" w:hAnsi="仿宋" w:eastAsia="仿宋" w:cs="仿宋_GB2312"/>
          <w:sz w:val="32"/>
          <w:szCs w:val="32"/>
        </w:rPr>
      </w:pPr>
    </w:p>
    <w:p>
      <w:pPr>
        <w:pStyle w:val="2"/>
        <w:jc w:val="center"/>
        <w:rPr>
          <w:rFonts w:ascii="黑体" w:hAnsi="黑体" w:eastAsia="黑体"/>
          <w:sz w:val="36"/>
          <w:szCs w:val="36"/>
          <w:lang w:eastAsia="zh-CN"/>
        </w:rPr>
        <w:sectPr>
          <w:pgSz w:w="11906" w:h="16838"/>
          <w:pgMar w:top="1440" w:right="1800" w:bottom="1440" w:left="1800" w:header="851" w:footer="992" w:gutter="0"/>
          <w:cols w:space="720" w:num="1"/>
          <w:docGrid w:type="lines" w:linePitch="312" w:charSpace="0"/>
        </w:sect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rPr>
          <w:rFonts w:ascii="黑体" w:hAnsi="黑体" w:eastAsia="黑体"/>
          <w:sz w:val="56"/>
          <w:szCs w:val="36"/>
          <w:lang w:eastAsia="zh-CN"/>
        </w:rPr>
      </w:pPr>
      <w:r>
        <w:rPr>
          <w:rFonts w:hint="eastAsia" w:ascii="黑体" w:hAnsi="黑体" w:eastAsia="黑体"/>
          <w:sz w:val="56"/>
          <w:szCs w:val="36"/>
          <w:lang w:eastAsia="zh-CN"/>
        </w:rPr>
        <w:t>第二部分</w:t>
      </w:r>
      <w:r>
        <w:rPr>
          <w:rFonts w:ascii="黑体" w:hAnsi="黑体" w:eastAsia="黑体"/>
          <w:sz w:val="56"/>
          <w:szCs w:val="36"/>
          <w:lang w:eastAsia="zh-CN"/>
        </w:rPr>
        <w:t xml:space="preserve"> </w:t>
      </w:r>
    </w:p>
    <w:p>
      <w:pPr>
        <w:pStyle w:val="2"/>
        <w:jc w:val="center"/>
        <w:rPr>
          <w:rFonts w:ascii="黑体" w:hAnsi="黑体" w:eastAsia="黑体"/>
          <w:sz w:val="56"/>
          <w:szCs w:val="36"/>
          <w:lang w:eastAsia="zh-CN"/>
        </w:rPr>
      </w:pPr>
      <w:r>
        <w:rPr>
          <w:rFonts w:hint="eastAsia" w:ascii="黑体" w:hAnsi="黑体" w:eastAsia="黑体"/>
          <w:sz w:val="56"/>
          <w:szCs w:val="36"/>
          <w:lang w:val="en-US" w:eastAsia="zh-CN"/>
        </w:rPr>
        <w:t>2025</w:t>
      </w:r>
      <w:r>
        <w:rPr>
          <w:rFonts w:hint="eastAsia" w:ascii="黑体" w:hAnsi="黑体" w:eastAsia="黑体"/>
          <w:sz w:val="56"/>
          <w:szCs w:val="36"/>
          <w:lang w:eastAsia="zh-CN"/>
        </w:rPr>
        <w:t>年度单位预算表</w:t>
      </w:r>
    </w:p>
    <w:p>
      <w:pPr>
        <w:tabs>
          <w:tab w:val="left" w:pos="7513"/>
        </w:tabs>
        <w:adjustRightInd w:val="0"/>
        <w:snapToGrid w:val="0"/>
        <w:spacing w:line="600" w:lineRule="exact"/>
        <w:rPr>
          <w:rFonts w:asciiTheme="majorEastAsia" w:hAnsiTheme="majorEastAsia" w:eastAsiaTheme="majorEastAsia"/>
          <w:sz w:val="36"/>
        </w:rPr>
        <w:sectPr>
          <w:pgSz w:w="11906" w:h="16838"/>
          <w:pgMar w:top="1440" w:right="1800" w:bottom="1440" w:left="1800" w:header="851" w:footer="992" w:gutter="0"/>
          <w:cols w:space="425" w:num="1"/>
          <w:docGrid w:type="lines" w:linePitch="312" w:charSpace="0"/>
        </w:sectPr>
      </w:pPr>
    </w:p>
    <w:p>
      <w:pPr>
        <w:numPr>
          <w:ilvl w:val="0"/>
          <w:numId w:val="1"/>
        </w:numPr>
        <w:tabs>
          <w:tab w:val="left" w:pos="7513"/>
        </w:tabs>
        <w:adjustRightInd w:val="0"/>
        <w:snapToGrid w:val="0"/>
        <w:spacing w:line="600" w:lineRule="exact"/>
        <w:rPr>
          <w:rFonts w:hint="eastAsia" w:ascii="黑体" w:hAnsi="黑体" w:eastAsia="黑体"/>
          <w:sz w:val="32"/>
          <w:szCs w:val="32"/>
        </w:rPr>
      </w:pPr>
      <w:r>
        <w:rPr>
          <w:rFonts w:hint="eastAsia" w:ascii="黑体" w:hAnsi="黑体" w:eastAsia="黑体"/>
          <w:sz w:val="32"/>
          <w:szCs w:val="32"/>
        </w:rPr>
        <w:t>收支预算总表</w:t>
      </w:r>
    </w:p>
    <w:tbl>
      <w:tblPr>
        <w:tblStyle w:val="6"/>
        <w:tblW w:w="963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00"/>
        <w:gridCol w:w="2354"/>
        <w:gridCol w:w="2530"/>
        <w:gridCol w:w="23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3191"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2025年度</w:t>
            </w:r>
            <w:r>
              <w:rPr>
                <w:rFonts w:ascii="宋体" w:hAnsi="宋体" w:eastAsia="宋体" w:cs="宋体"/>
                <w:i w:val="0"/>
                <w:iCs w:val="0"/>
                <w:color w:val="000000"/>
                <w:kern w:val="0"/>
                <w:sz w:val="28"/>
                <w:szCs w:val="28"/>
                <w:u w:val="none"/>
                <w:lang w:val="en-US" w:eastAsia="zh-CN" w:bidi="ar"/>
              </w:rPr>
              <w:t>收支预算总表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19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649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收  入</w:t>
            </w:r>
          </w:p>
        </w:tc>
        <w:tc>
          <w:tcPr>
            <w:tcW w:w="6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项目</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预算数</w:t>
            </w: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项目</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一、一般公共预算拨款收入</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42.14</w:t>
            </w: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一、一般公共服务支出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二、政府性基金预算拨款收入</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二、外交支出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三、国有资本经营预算拨款收入</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三、国防支出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四、财政专户管理资金收入</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四、公共安全支出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五、事业收入</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五、教育支出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六、事业单位经营收入</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六、科学技术支出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七、上级补助收入</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七、文化旅游体育与传媒支出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八、附属单位上缴收入</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八、社会保障和就业支出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九、其他收入</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九、卫生健康支出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十、上年结转结余</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十、节能环保支出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十一、城乡社区支出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十二、农林水支出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十三、交通运输支出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十四、资源勘探工业信息等支出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十五、商业服务业等支出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十六、金融支出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十七、援助其他地区支出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十八、自然资源海洋气象等支出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十九、住房保障支出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二十、粮油物资储备支出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二十一、国有资本经营预算支出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二十二、灾害防治及应急管理支出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二十三、其他支出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二十四、债务还本支出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二十五、债务付息支出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二十六、债务发行费用支出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收入合计</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42.14</w:t>
            </w:r>
          </w:p>
        </w:tc>
        <w:tc>
          <w:tcPr>
            <w:tcW w:w="3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支出合计</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42.14</w:t>
            </w:r>
          </w:p>
        </w:tc>
      </w:tr>
    </w:tbl>
    <w:p>
      <w:pPr>
        <w:numPr>
          <w:ilvl w:val="0"/>
          <w:numId w:val="0"/>
        </w:num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numPr>
          <w:ilvl w:val="0"/>
          <w:numId w:val="1"/>
        </w:numPr>
        <w:tabs>
          <w:tab w:val="left" w:pos="7513"/>
        </w:tabs>
        <w:adjustRightInd w:val="0"/>
        <w:snapToGrid w:val="0"/>
        <w:spacing w:line="600" w:lineRule="exact"/>
        <w:ind w:left="0" w:leftChars="0" w:firstLine="0" w:firstLineChars="0"/>
        <w:rPr>
          <w:rFonts w:hint="eastAsia" w:ascii="黑体" w:hAnsi="黑体" w:eastAsia="黑体"/>
          <w:sz w:val="32"/>
          <w:szCs w:val="32"/>
        </w:rPr>
      </w:pPr>
      <w:r>
        <w:rPr>
          <w:rFonts w:hint="eastAsia" w:ascii="黑体" w:hAnsi="黑体" w:eastAsia="黑体"/>
          <w:sz w:val="32"/>
          <w:szCs w:val="32"/>
        </w:rPr>
        <w:t>收入预算总表</w:t>
      </w:r>
    </w:p>
    <w:tbl>
      <w:tblPr>
        <w:tblStyle w:val="6"/>
        <w:tblW w:w="963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37"/>
        <w:gridCol w:w="1135"/>
        <w:gridCol w:w="803"/>
        <w:gridCol w:w="803"/>
        <w:gridCol w:w="606"/>
        <w:gridCol w:w="606"/>
        <w:gridCol w:w="606"/>
        <w:gridCol w:w="606"/>
        <w:gridCol w:w="606"/>
        <w:gridCol w:w="606"/>
        <w:gridCol w:w="606"/>
        <w:gridCol w:w="606"/>
        <w:gridCol w:w="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18592"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2025年度</w:t>
            </w:r>
            <w:r>
              <w:rPr>
                <w:rFonts w:ascii="宋体" w:hAnsi="宋体" w:eastAsia="宋体" w:cs="宋体"/>
                <w:i w:val="0"/>
                <w:iCs w:val="0"/>
                <w:color w:val="000000"/>
                <w:kern w:val="0"/>
                <w:sz w:val="30"/>
                <w:szCs w:val="30"/>
                <w:u w:val="none"/>
                <w:lang w:val="en-US" w:eastAsia="zh-CN" w:bidi="ar"/>
              </w:rPr>
              <w:t>收入预算总表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449"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科目编码</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科目名称</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总计</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一般公共预算拨款收入</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政府性基金预算拨款收入</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国有资本经营预算拨款收入</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财政专户管理资金收入</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事业收入</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事业单位经营收入</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上级补助收入</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附属单位上缴收入</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其他收入</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11</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42.14</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42.14</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社会保障和就业支出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39.77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39.77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20810</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社会福利</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39.77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39.77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2081004</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殡葬</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39.77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39.77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221</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住房保障支出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22102</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住房改革支出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2210201</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住房公积金</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2.37</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bl>
    <w:p>
      <w:pPr>
        <w:numPr>
          <w:ilvl w:val="0"/>
          <w:numId w:val="0"/>
        </w:numPr>
        <w:tabs>
          <w:tab w:val="left" w:pos="7513"/>
        </w:tabs>
        <w:adjustRightInd w:val="0"/>
        <w:snapToGrid w:val="0"/>
        <w:spacing w:line="600" w:lineRule="exact"/>
        <w:ind w:leftChars="0"/>
        <w:rPr>
          <w:rFonts w:hint="eastAsia" w:ascii="黑体" w:hAnsi="黑体" w:eastAsia="黑体"/>
          <w:sz w:val="32"/>
          <w:szCs w:val="32"/>
        </w:rPr>
      </w:pPr>
    </w:p>
    <w:p>
      <w:pPr>
        <w:tabs>
          <w:tab w:val="left" w:pos="7513"/>
        </w:tabs>
        <w:adjustRightInd w:val="0"/>
        <w:snapToGrid w:val="0"/>
        <w:spacing w:line="600" w:lineRule="exact"/>
        <w:rPr>
          <w:rFonts w:cs="Times New Roman" w:asciiTheme="majorEastAsia" w:hAnsiTheme="majorEastAsia" w:eastAsiaTheme="majorEastAsia"/>
          <w:kern w:val="0"/>
          <w:sz w:val="36"/>
          <w:szCs w:val="20"/>
        </w:rPr>
      </w:pPr>
    </w:p>
    <w:p>
      <w:pPr>
        <w:tabs>
          <w:tab w:val="left" w:pos="7513"/>
        </w:tabs>
        <w:rPr>
          <w:rFonts w:cs="Times New Roman" w:asciiTheme="majorEastAsia" w:hAnsiTheme="majorEastAsia" w:eastAsiaTheme="majorEastAsia"/>
          <w:sz w:val="36"/>
          <w:szCs w:val="20"/>
        </w:rPr>
      </w:pPr>
      <w:r>
        <w:rPr>
          <w:rFonts w:cs="Times New Roman" w:asciiTheme="majorEastAsia" w:hAnsiTheme="majorEastAsia" w:eastAsiaTheme="majorEastAsia"/>
          <w:sz w:val="36"/>
          <w:szCs w:val="20"/>
        </w:rPr>
        <w:tab/>
      </w:r>
    </w:p>
    <w:p>
      <w:pPr>
        <w:rPr>
          <w:rFonts w:cs="Times New Roman" w:asciiTheme="majorEastAsia" w:hAnsiTheme="majorEastAsia" w:eastAsiaTheme="majorEastAsia"/>
          <w:sz w:val="36"/>
          <w:szCs w:val="20"/>
        </w:rPr>
      </w:pPr>
    </w:p>
    <w:p>
      <w:pPr>
        <w:rPr>
          <w:rFonts w:cs="Times New Roman" w:asciiTheme="majorEastAsia" w:hAnsiTheme="majorEastAsia" w:eastAsiaTheme="majorEastAsia"/>
          <w:sz w:val="36"/>
          <w:szCs w:val="20"/>
        </w:rPr>
        <w:sectPr>
          <w:pgSz w:w="11906" w:h="16838"/>
          <w:pgMar w:top="1440" w:right="1800" w:bottom="1440" w:left="1800" w:header="851" w:footer="992" w:gutter="0"/>
          <w:cols w:space="425" w:num="1"/>
          <w:docGrid w:type="lines" w:linePitch="312" w:charSpace="0"/>
        </w:sectPr>
      </w:pPr>
    </w:p>
    <w:p>
      <w:pPr>
        <w:numPr>
          <w:ilvl w:val="0"/>
          <w:numId w:val="1"/>
        </w:numPr>
        <w:tabs>
          <w:tab w:val="left" w:pos="7513"/>
        </w:tabs>
        <w:adjustRightInd w:val="0"/>
        <w:snapToGrid w:val="0"/>
        <w:spacing w:line="600" w:lineRule="exact"/>
        <w:ind w:left="0" w:leftChars="0" w:firstLine="0" w:firstLineChars="0"/>
        <w:rPr>
          <w:rFonts w:hint="eastAsia" w:ascii="黑体" w:hAnsi="黑体" w:eastAsia="黑体"/>
          <w:sz w:val="32"/>
          <w:szCs w:val="32"/>
        </w:rPr>
      </w:pPr>
      <w:r>
        <w:rPr>
          <w:rFonts w:hint="eastAsia" w:ascii="黑体" w:hAnsi="黑体" w:eastAsia="黑体"/>
          <w:sz w:val="32"/>
          <w:szCs w:val="32"/>
        </w:rPr>
        <w:t>支出预算总表</w:t>
      </w:r>
    </w:p>
    <w:tbl>
      <w:tblPr>
        <w:tblStyle w:val="6"/>
        <w:tblW w:w="963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55"/>
        <w:gridCol w:w="1650"/>
        <w:gridCol w:w="900"/>
        <w:gridCol w:w="1315"/>
        <w:gridCol w:w="1309"/>
        <w:gridCol w:w="815"/>
        <w:gridCol w:w="837"/>
        <w:gridCol w:w="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5807"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2025年度</w:t>
            </w:r>
            <w:r>
              <w:rPr>
                <w:rFonts w:ascii="宋体" w:hAnsi="宋体" w:eastAsia="宋体" w:cs="宋体"/>
                <w:i w:val="0"/>
                <w:iCs w:val="0"/>
                <w:color w:val="000000"/>
                <w:kern w:val="0"/>
                <w:sz w:val="30"/>
                <w:szCs w:val="30"/>
                <w:u w:val="none"/>
                <w:lang w:val="en-US" w:eastAsia="zh-CN" w:bidi="ar"/>
              </w:rPr>
              <w:t>支出预算总表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40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科目编码</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科目名称</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基本支出</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项目支出</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事业单位经营支出</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上缴上级支出</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42.14</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42.14</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社会保障和就业支出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39.77</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39.77</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20810</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社会福利</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39.77</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39.77</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2081004</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殡葬</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39.77</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39.77</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221</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住房保障支出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2.37</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2.37</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22102</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住房改革支出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2.37</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2.37</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2210201</w:t>
            </w:r>
          </w:p>
        </w:tc>
        <w:tc>
          <w:tcPr>
            <w:tcW w:w="3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住房公积金</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2.37</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2.37</w:t>
            </w:r>
          </w:p>
        </w:tc>
        <w:tc>
          <w:tcPr>
            <w:tcW w:w="23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bl>
    <w:p>
      <w:pPr>
        <w:numPr>
          <w:ilvl w:val="0"/>
          <w:numId w:val="0"/>
        </w:numPr>
        <w:tabs>
          <w:tab w:val="left" w:pos="7513"/>
        </w:tabs>
        <w:adjustRightInd w:val="0"/>
        <w:snapToGrid w:val="0"/>
        <w:spacing w:line="600" w:lineRule="exact"/>
        <w:ind w:leftChars="0"/>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numPr>
          <w:ilvl w:val="0"/>
          <w:numId w:val="1"/>
        </w:numPr>
        <w:tabs>
          <w:tab w:val="left" w:pos="7513"/>
        </w:tabs>
        <w:adjustRightInd w:val="0"/>
        <w:snapToGrid w:val="0"/>
        <w:spacing w:line="600" w:lineRule="exact"/>
        <w:ind w:left="0" w:leftChars="0" w:firstLine="0" w:firstLineChars="0"/>
        <w:rPr>
          <w:rFonts w:hint="eastAsia" w:ascii="黑体" w:hAnsi="黑体" w:eastAsia="黑体"/>
          <w:sz w:val="32"/>
          <w:szCs w:val="32"/>
        </w:rPr>
      </w:pPr>
      <w:r>
        <w:rPr>
          <w:rFonts w:hint="eastAsia" w:ascii="黑体" w:hAnsi="黑体" w:eastAsia="黑体"/>
          <w:sz w:val="32"/>
          <w:szCs w:val="32"/>
        </w:rPr>
        <w:t>财政拨款收支预算总表</w:t>
      </w:r>
    </w:p>
    <w:tbl>
      <w:tblPr>
        <w:tblStyle w:val="6"/>
        <w:tblW w:w="963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17"/>
        <w:gridCol w:w="1982"/>
        <w:gridCol w:w="2484"/>
        <w:gridCol w:w="25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2051"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2025年度</w:t>
            </w:r>
            <w:r>
              <w:rPr>
                <w:rFonts w:ascii="宋体" w:hAnsi="宋体" w:eastAsia="宋体" w:cs="宋体"/>
                <w:i w:val="0"/>
                <w:iCs w:val="0"/>
                <w:color w:val="000000"/>
                <w:kern w:val="0"/>
                <w:sz w:val="28"/>
                <w:szCs w:val="28"/>
                <w:u w:val="none"/>
                <w:lang w:val="en-US" w:eastAsia="zh-CN" w:bidi="ar"/>
              </w:rPr>
              <w:t>财政拨款收支预算总表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19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573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收  入</w:t>
            </w:r>
          </w:p>
        </w:tc>
        <w:tc>
          <w:tcPr>
            <w:tcW w:w="63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项目</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预算数</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        项目</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一、一般公共预算拨款收入</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42.14</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一、一般公共服务支出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二、政府性基金预算拨款收入</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二、外交支出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三、国有资本经营预算拨款收入</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三、国防支出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四、公共安全支出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五、教育支出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六、科学技术支出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七、文化旅游体育与传媒支出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八、社会保障和就业支出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九、卫生健康支出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十、节能环保支出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十一、城乡社区支出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十二、农林水支出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十三、交通运输支出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十四、资源勘探工业信息等支出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十五、商业服务业等支出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十六、金融支出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十七、援助其他地区支出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十八、自然资源海洋气象等支出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十九、住房保障支出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二十、粮油物资储备支出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二十一、国有资本经营预算支出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二十二、灾害防治及应急管理支出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二十三、其他支出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二十四、债务还本支出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二十五、债务付息支出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二十六、债务发行费用支出</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3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收入合计</w:t>
            </w:r>
          </w:p>
        </w:tc>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42.14</w:t>
            </w:r>
          </w:p>
        </w:tc>
        <w:tc>
          <w:tcPr>
            <w:tcW w:w="3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支出合计</w:t>
            </w:r>
          </w:p>
        </w:tc>
        <w:tc>
          <w:tcPr>
            <w:tcW w:w="3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42.14</w:t>
            </w:r>
          </w:p>
        </w:tc>
      </w:tr>
    </w:tbl>
    <w:p>
      <w:pPr>
        <w:numPr>
          <w:ilvl w:val="0"/>
          <w:numId w:val="0"/>
        </w:numPr>
        <w:tabs>
          <w:tab w:val="left" w:pos="7513"/>
        </w:tabs>
        <w:adjustRightInd w:val="0"/>
        <w:snapToGrid w:val="0"/>
        <w:spacing w:line="600" w:lineRule="exact"/>
        <w:ind w:leftChars="0"/>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numPr>
          <w:ilvl w:val="0"/>
          <w:numId w:val="1"/>
        </w:numPr>
        <w:tabs>
          <w:tab w:val="left" w:pos="7513"/>
        </w:tabs>
        <w:adjustRightInd w:val="0"/>
        <w:snapToGrid w:val="0"/>
        <w:spacing w:line="600" w:lineRule="exact"/>
        <w:ind w:left="0" w:leftChars="0" w:firstLine="0" w:firstLineChars="0"/>
        <w:rPr>
          <w:rFonts w:hint="eastAsia" w:ascii="黑体" w:hAnsi="黑体" w:eastAsia="黑体"/>
          <w:sz w:val="32"/>
          <w:szCs w:val="32"/>
        </w:rPr>
      </w:pPr>
      <w:r>
        <w:rPr>
          <w:rFonts w:hint="eastAsia" w:ascii="黑体" w:hAnsi="黑体" w:eastAsia="黑体"/>
          <w:sz w:val="32"/>
          <w:szCs w:val="32"/>
        </w:rPr>
        <w:t>一般公共预算拨款支出预算表</w:t>
      </w:r>
    </w:p>
    <w:tbl>
      <w:tblPr>
        <w:tblStyle w:val="6"/>
        <w:tblW w:w="963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19"/>
        <w:gridCol w:w="2830"/>
        <w:gridCol w:w="1502"/>
        <w:gridCol w:w="1815"/>
        <w:gridCol w:w="19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14767"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2025年度</w:t>
            </w:r>
            <w:r>
              <w:rPr>
                <w:rFonts w:ascii="宋体" w:hAnsi="宋体" w:eastAsia="宋体" w:cs="宋体"/>
                <w:i w:val="0"/>
                <w:iCs w:val="0"/>
                <w:color w:val="000000"/>
                <w:kern w:val="0"/>
                <w:sz w:val="30"/>
                <w:szCs w:val="30"/>
                <w:u w:val="none"/>
                <w:lang w:val="en-US" w:eastAsia="zh-CN" w:bidi="ar"/>
              </w:rPr>
              <w:t>一般公共预算拨款支出预算表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07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科目编码</w:t>
            </w:r>
          </w:p>
        </w:tc>
        <w:tc>
          <w:tcPr>
            <w:tcW w:w="4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科目名称</w:t>
            </w:r>
          </w:p>
        </w:tc>
        <w:tc>
          <w:tcPr>
            <w:tcW w:w="21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基本支出</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42.14</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42.14</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社会保障和就业支出</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39.77</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39.77</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20810</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社会福利</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39.77</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39.77</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2081004</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殡葬</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39.77</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39.77</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221</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住房保障支出</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2.37</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2.37</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22102</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住房改革支出</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2.37</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2.37</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2210201</w:t>
            </w:r>
          </w:p>
        </w:tc>
        <w:tc>
          <w:tcPr>
            <w:tcW w:w="4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住房公积金</w:t>
            </w:r>
          </w:p>
        </w:tc>
        <w:tc>
          <w:tcPr>
            <w:tcW w:w="2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2.37</w:t>
            </w:r>
          </w:p>
        </w:tc>
        <w:tc>
          <w:tcPr>
            <w:tcW w:w="2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2.37</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bl>
    <w:p>
      <w:pPr>
        <w:numPr>
          <w:ilvl w:val="0"/>
          <w:numId w:val="0"/>
        </w:numPr>
        <w:tabs>
          <w:tab w:val="left" w:pos="7513"/>
        </w:tabs>
        <w:adjustRightInd w:val="0"/>
        <w:snapToGrid w:val="0"/>
        <w:spacing w:line="600" w:lineRule="exact"/>
        <w:ind w:leftChars="0"/>
        <w:rPr>
          <w:rFonts w:hint="eastAsia" w:ascii="黑体" w:hAnsi="黑体" w:eastAsia="黑体"/>
          <w:sz w:val="32"/>
          <w:szCs w:val="32"/>
        </w:rPr>
      </w:pPr>
    </w:p>
    <w:p>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六、政府性基金预算拨款支出预算表</w:t>
      </w:r>
    </w:p>
    <w:tbl>
      <w:tblPr>
        <w:tblStyle w:val="6"/>
        <w:tblW w:w="9638" w:type="dxa"/>
        <w:tblInd w:w="91" w:type="dxa"/>
        <w:tblLayout w:type="autofit"/>
        <w:tblCellMar>
          <w:top w:w="0" w:type="dxa"/>
          <w:left w:w="108" w:type="dxa"/>
          <w:bottom w:w="0" w:type="dxa"/>
          <w:right w:w="108" w:type="dxa"/>
        </w:tblCellMar>
      </w:tblPr>
      <w:tblGrid>
        <w:gridCol w:w="1344"/>
        <w:gridCol w:w="2986"/>
        <w:gridCol w:w="1824"/>
        <w:gridCol w:w="1824"/>
        <w:gridCol w:w="1660"/>
      </w:tblGrid>
      <w:tr>
        <w:tblPrEx>
          <w:tblCellMar>
            <w:top w:w="0" w:type="dxa"/>
            <w:left w:w="108" w:type="dxa"/>
            <w:bottom w:w="0" w:type="dxa"/>
            <w:right w:w="108" w:type="dxa"/>
          </w:tblCellMar>
        </w:tblPrEx>
        <w:trPr>
          <w:trHeight w:val="529" w:hRule="atLeast"/>
        </w:trPr>
        <w:tc>
          <w:tcPr>
            <w:tcW w:w="8237" w:type="dxa"/>
            <w:gridSpan w:val="5"/>
            <w:tcBorders>
              <w:top w:val="nil"/>
              <w:left w:val="nil"/>
              <w:bottom w:val="nil"/>
              <w:right w:val="nil"/>
            </w:tcBorders>
            <w:shd w:val="clear" w:color="auto" w:fill="auto"/>
            <w:noWrap/>
            <w:vAlign w:val="center"/>
          </w:tcPr>
          <w:p>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2025</w:t>
            </w:r>
            <w:r>
              <w:rPr>
                <w:rFonts w:hint="eastAsia" w:ascii="方正小标宋简体" w:hAnsi="宋体" w:eastAsia="方正小标宋简体" w:cs="宋体"/>
                <w:kern w:val="0"/>
                <w:sz w:val="32"/>
                <w:szCs w:val="32"/>
              </w:rPr>
              <w:t>年度政府性基金预算拨款支出预算表</w:t>
            </w:r>
          </w:p>
        </w:tc>
      </w:tr>
      <w:tr>
        <w:tblPrEx>
          <w:tblCellMar>
            <w:top w:w="0" w:type="dxa"/>
            <w:left w:w="108" w:type="dxa"/>
            <w:bottom w:w="0" w:type="dxa"/>
            <w:right w:w="108" w:type="dxa"/>
          </w:tblCellMar>
        </w:tblPrEx>
        <w:trPr>
          <w:trHeight w:val="285" w:hRule="atLeast"/>
        </w:trPr>
        <w:tc>
          <w:tcPr>
            <w:tcW w:w="114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2552"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418" w:type="dxa"/>
            <w:tcBorders>
              <w:top w:val="nil"/>
              <w:left w:val="nil"/>
              <w:bottom w:val="nil"/>
              <w:right w:val="nil"/>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tblPrEx>
          <w:tblCellMar>
            <w:top w:w="0" w:type="dxa"/>
            <w:left w:w="108" w:type="dxa"/>
            <w:bottom w:w="0" w:type="dxa"/>
            <w:right w:w="108" w:type="dxa"/>
          </w:tblCellMar>
        </w:tblPrEx>
        <w:trPr>
          <w:trHeight w:val="402"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科目编码</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科目名称</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小计</w:t>
            </w:r>
          </w:p>
        </w:tc>
        <w:tc>
          <w:tcPr>
            <w:tcW w:w="297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ascii="黑体" w:hAnsi="黑体" w:eastAsia="黑体" w:cs="宋体"/>
                <w:bCs/>
                <w:kern w:val="0"/>
                <w:sz w:val="22"/>
              </w:rPr>
            </w:pPr>
            <w:r>
              <w:rPr>
                <w:rFonts w:hint="eastAsia" w:ascii="黑体" w:hAnsi="黑体" w:eastAsia="黑体" w:cs="宋体"/>
                <w:bCs/>
                <w:kern w:val="0"/>
                <w:sz w:val="22"/>
              </w:rPr>
              <w:t>其中：</w:t>
            </w:r>
          </w:p>
        </w:tc>
      </w:tr>
      <w:tr>
        <w:tblPrEx>
          <w:tblCellMar>
            <w:top w:w="0" w:type="dxa"/>
            <w:left w:w="108" w:type="dxa"/>
            <w:bottom w:w="0" w:type="dxa"/>
            <w:right w:w="108" w:type="dxa"/>
          </w:tblCellMar>
        </w:tblPrEx>
        <w:trPr>
          <w:trHeight w:val="40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黑体" w:hAnsi="黑体" w:eastAsia="黑体" w:cs="宋体"/>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黑体" w:hAnsi="黑体" w:eastAsia="黑体" w:cs="宋体"/>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黑体" w:hAnsi="黑体" w:eastAsia="黑体" w:cs="宋体"/>
                <w:bCs/>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基本支出</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项目支出</w:t>
            </w:r>
          </w:p>
        </w:tc>
      </w:tr>
      <w:tr>
        <w:tblPrEx>
          <w:tblCellMar>
            <w:top w:w="0" w:type="dxa"/>
            <w:left w:w="108" w:type="dxa"/>
            <w:bottom w:w="0" w:type="dxa"/>
            <w:right w:w="108" w:type="dxa"/>
          </w:tblCellMar>
        </w:tblPrEx>
        <w:trPr>
          <w:trHeight w:val="402" w:hRule="atLeast"/>
        </w:trPr>
        <w:tc>
          <w:tcPr>
            <w:tcW w:w="37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center"/>
              <w:rPr>
                <w:rFonts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bl>
    <w:p>
      <w:pPr>
        <w:tabs>
          <w:tab w:val="left" w:pos="7513"/>
        </w:tabs>
        <w:adjustRightInd w:val="0"/>
        <w:snapToGrid w:val="0"/>
        <w:spacing w:line="300" w:lineRule="auto"/>
        <w:ind w:firstLine="560" w:firstLineChars="200"/>
        <w:rPr>
          <w:rFonts w:ascii="黑体" w:hAnsi="黑体" w:eastAsia="黑体"/>
          <w:sz w:val="28"/>
          <w:szCs w:val="28"/>
        </w:rPr>
        <w:sectPr>
          <w:pgSz w:w="11906" w:h="16838"/>
          <w:pgMar w:top="1440" w:right="1800" w:bottom="1440" w:left="1800" w:header="851" w:footer="992" w:gutter="0"/>
          <w:cols w:space="425" w:num="1"/>
          <w:docGrid w:type="lines" w:linePitch="312" w:charSpace="0"/>
        </w:sectPr>
      </w:pPr>
      <w:r>
        <w:rPr>
          <w:rFonts w:hint="eastAsia" w:ascii="楷体" w:hAnsi="楷体" w:eastAsia="楷体" w:cs="Times New Roman"/>
          <w:kern w:val="0"/>
          <w:sz w:val="28"/>
          <w:szCs w:val="28"/>
        </w:rPr>
        <w:t>本</w:t>
      </w:r>
      <w:r>
        <w:rPr>
          <w:rFonts w:hint="eastAsia" w:ascii="楷体" w:hAnsi="楷体" w:eastAsia="楷体" w:cs="Times New Roman"/>
          <w:kern w:val="0"/>
          <w:sz w:val="28"/>
          <w:szCs w:val="28"/>
          <w:lang w:eastAsia="zh-CN"/>
        </w:rPr>
        <w:t>单位</w:t>
      </w:r>
      <w:r>
        <w:rPr>
          <w:rFonts w:hint="eastAsia" w:ascii="楷体" w:hAnsi="楷体" w:eastAsia="楷体" w:cs="Times New Roman"/>
          <w:kern w:val="0"/>
          <w:sz w:val="28"/>
          <w:szCs w:val="28"/>
          <w:lang w:val="en-US" w:eastAsia="zh-CN"/>
        </w:rPr>
        <w:t>2025</w:t>
      </w:r>
      <w:r>
        <w:rPr>
          <w:rFonts w:hint="eastAsia" w:ascii="楷体" w:hAnsi="楷体" w:eastAsia="楷体" w:cs="Times New Roman"/>
          <w:kern w:val="0"/>
          <w:sz w:val="28"/>
          <w:szCs w:val="28"/>
        </w:rPr>
        <w:t>年没有使用政府性基金预算拨款安排的支出。</w:t>
      </w:r>
    </w:p>
    <w:p>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七、国有资本经营预算拨款支出预算表</w:t>
      </w:r>
    </w:p>
    <w:tbl>
      <w:tblPr>
        <w:tblStyle w:val="6"/>
        <w:tblW w:w="9638" w:type="dxa"/>
        <w:tblInd w:w="91" w:type="dxa"/>
        <w:tblLayout w:type="autofit"/>
        <w:tblCellMar>
          <w:top w:w="0" w:type="dxa"/>
          <w:left w:w="108" w:type="dxa"/>
          <w:bottom w:w="0" w:type="dxa"/>
          <w:right w:w="108" w:type="dxa"/>
        </w:tblCellMar>
      </w:tblPr>
      <w:tblGrid>
        <w:gridCol w:w="1344"/>
        <w:gridCol w:w="2986"/>
        <w:gridCol w:w="1824"/>
        <w:gridCol w:w="1824"/>
        <w:gridCol w:w="1660"/>
      </w:tblGrid>
      <w:tr>
        <w:tblPrEx>
          <w:tblCellMar>
            <w:top w:w="0" w:type="dxa"/>
            <w:left w:w="108" w:type="dxa"/>
            <w:bottom w:w="0" w:type="dxa"/>
            <w:right w:w="108" w:type="dxa"/>
          </w:tblCellMar>
        </w:tblPrEx>
        <w:trPr>
          <w:trHeight w:val="529" w:hRule="atLeast"/>
        </w:trPr>
        <w:tc>
          <w:tcPr>
            <w:tcW w:w="8237" w:type="dxa"/>
            <w:gridSpan w:val="5"/>
            <w:tcBorders>
              <w:top w:val="nil"/>
              <w:left w:val="nil"/>
              <w:bottom w:val="nil"/>
              <w:right w:val="nil"/>
            </w:tcBorders>
            <w:shd w:val="clear" w:color="auto" w:fill="auto"/>
            <w:noWrap/>
            <w:vAlign w:val="center"/>
          </w:tcPr>
          <w:p>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2025</w:t>
            </w:r>
            <w:r>
              <w:rPr>
                <w:rFonts w:hint="eastAsia" w:ascii="方正小标宋简体" w:hAnsi="宋体" w:eastAsia="方正小标宋简体" w:cs="宋体"/>
                <w:kern w:val="0"/>
                <w:sz w:val="32"/>
                <w:szCs w:val="32"/>
              </w:rPr>
              <w:t>年度国有资本经营预算拨款支出预算表</w:t>
            </w:r>
          </w:p>
        </w:tc>
      </w:tr>
      <w:tr>
        <w:tblPrEx>
          <w:tblCellMar>
            <w:top w:w="0" w:type="dxa"/>
            <w:left w:w="108" w:type="dxa"/>
            <w:bottom w:w="0" w:type="dxa"/>
            <w:right w:w="108" w:type="dxa"/>
          </w:tblCellMar>
        </w:tblPrEx>
        <w:trPr>
          <w:trHeight w:val="285" w:hRule="atLeast"/>
        </w:trPr>
        <w:tc>
          <w:tcPr>
            <w:tcW w:w="114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2552"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418" w:type="dxa"/>
            <w:tcBorders>
              <w:top w:val="nil"/>
              <w:left w:val="nil"/>
              <w:bottom w:val="nil"/>
              <w:right w:val="nil"/>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tblPrEx>
          <w:tblCellMar>
            <w:top w:w="0" w:type="dxa"/>
            <w:left w:w="108" w:type="dxa"/>
            <w:bottom w:w="0" w:type="dxa"/>
            <w:right w:w="108" w:type="dxa"/>
          </w:tblCellMar>
        </w:tblPrEx>
        <w:trPr>
          <w:trHeight w:val="402"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科目编码</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科目名称</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小计</w:t>
            </w:r>
          </w:p>
        </w:tc>
        <w:tc>
          <w:tcPr>
            <w:tcW w:w="297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ascii="黑体" w:hAnsi="黑体" w:eastAsia="黑体" w:cs="宋体"/>
                <w:bCs/>
                <w:kern w:val="0"/>
                <w:sz w:val="22"/>
              </w:rPr>
            </w:pPr>
            <w:r>
              <w:rPr>
                <w:rFonts w:hint="eastAsia" w:ascii="黑体" w:hAnsi="黑体" w:eastAsia="黑体" w:cs="宋体"/>
                <w:bCs/>
                <w:kern w:val="0"/>
                <w:sz w:val="22"/>
              </w:rPr>
              <w:t>其中：</w:t>
            </w:r>
          </w:p>
        </w:tc>
      </w:tr>
      <w:tr>
        <w:tblPrEx>
          <w:tblCellMar>
            <w:top w:w="0" w:type="dxa"/>
            <w:left w:w="108" w:type="dxa"/>
            <w:bottom w:w="0" w:type="dxa"/>
            <w:right w:w="108" w:type="dxa"/>
          </w:tblCellMar>
        </w:tblPrEx>
        <w:trPr>
          <w:trHeight w:val="40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黑体" w:hAnsi="黑体" w:eastAsia="黑体" w:cs="宋体"/>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黑体" w:hAnsi="黑体" w:eastAsia="黑体" w:cs="宋体"/>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黑体" w:hAnsi="黑体" w:eastAsia="黑体" w:cs="宋体"/>
                <w:bCs/>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基本支出</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项目支出</w:t>
            </w:r>
          </w:p>
        </w:tc>
      </w:tr>
      <w:tr>
        <w:tblPrEx>
          <w:tblCellMar>
            <w:top w:w="0" w:type="dxa"/>
            <w:left w:w="108" w:type="dxa"/>
            <w:bottom w:w="0" w:type="dxa"/>
            <w:right w:w="108" w:type="dxa"/>
          </w:tblCellMar>
        </w:tblPrEx>
        <w:trPr>
          <w:trHeight w:val="402" w:hRule="atLeast"/>
        </w:trPr>
        <w:tc>
          <w:tcPr>
            <w:tcW w:w="37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center"/>
              <w:rPr>
                <w:rFonts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bl>
    <w:p>
      <w:pPr>
        <w:tabs>
          <w:tab w:val="left" w:pos="7513"/>
        </w:tabs>
        <w:adjustRightInd w:val="0"/>
        <w:snapToGrid w:val="0"/>
        <w:spacing w:line="300" w:lineRule="auto"/>
        <w:ind w:firstLine="560" w:firstLineChars="200"/>
        <w:rPr>
          <w:rFonts w:ascii="黑体" w:hAnsi="黑体" w:eastAsia="黑体"/>
          <w:sz w:val="28"/>
          <w:szCs w:val="28"/>
        </w:rPr>
        <w:sectPr>
          <w:pgSz w:w="11906" w:h="16838"/>
          <w:pgMar w:top="1440" w:right="1800" w:bottom="1440" w:left="1800" w:header="851" w:footer="992" w:gutter="0"/>
          <w:cols w:space="425" w:num="1"/>
          <w:docGrid w:type="lines" w:linePitch="312" w:charSpace="0"/>
        </w:sectPr>
      </w:pPr>
      <w:r>
        <w:rPr>
          <w:rFonts w:hint="eastAsia" w:ascii="楷体" w:hAnsi="楷体" w:eastAsia="楷体" w:cs="Times New Roman"/>
          <w:kern w:val="0"/>
          <w:sz w:val="28"/>
          <w:szCs w:val="28"/>
        </w:rPr>
        <w:t>本</w:t>
      </w:r>
      <w:r>
        <w:rPr>
          <w:rFonts w:hint="eastAsia" w:ascii="楷体" w:hAnsi="楷体" w:eastAsia="楷体" w:cs="Times New Roman"/>
          <w:kern w:val="0"/>
          <w:sz w:val="28"/>
          <w:szCs w:val="28"/>
          <w:lang w:eastAsia="zh-CN"/>
        </w:rPr>
        <w:t>单位</w:t>
      </w:r>
      <w:r>
        <w:rPr>
          <w:rFonts w:hint="eastAsia" w:ascii="楷体" w:hAnsi="楷体" w:eastAsia="楷体" w:cs="Times New Roman"/>
          <w:kern w:val="0"/>
          <w:sz w:val="28"/>
          <w:szCs w:val="28"/>
          <w:lang w:val="en-US" w:eastAsia="zh-CN"/>
        </w:rPr>
        <w:t>2025</w:t>
      </w:r>
      <w:r>
        <w:rPr>
          <w:rFonts w:hint="eastAsia" w:ascii="楷体" w:hAnsi="楷体" w:eastAsia="楷体" w:cs="Times New Roman"/>
          <w:kern w:val="0"/>
          <w:sz w:val="28"/>
          <w:szCs w:val="28"/>
        </w:rPr>
        <w:t>年没有使用国有资本经营预算拨款安排的支出。</w:t>
      </w:r>
    </w:p>
    <w:p>
      <w:pPr>
        <w:numPr>
          <w:ilvl w:val="0"/>
          <w:numId w:val="2"/>
        </w:numPr>
        <w:tabs>
          <w:tab w:val="left" w:pos="7513"/>
        </w:tabs>
        <w:adjustRightInd w:val="0"/>
        <w:snapToGrid w:val="0"/>
        <w:spacing w:line="600" w:lineRule="exact"/>
        <w:rPr>
          <w:rFonts w:hint="eastAsia" w:ascii="黑体" w:hAnsi="黑体" w:eastAsia="黑体"/>
          <w:sz w:val="32"/>
          <w:szCs w:val="32"/>
        </w:rPr>
      </w:pPr>
      <w:r>
        <w:rPr>
          <w:rFonts w:hint="eastAsia" w:ascii="黑体" w:hAnsi="黑体" w:eastAsia="黑体"/>
          <w:sz w:val="32"/>
          <w:szCs w:val="32"/>
        </w:rPr>
        <w:t>一般公共预算支出经济分类情况表</w:t>
      </w:r>
    </w:p>
    <w:tbl>
      <w:tblPr>
        <w:tblStyle w:val="6"/>
        <w:tblW w:w="963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99"/>
        <w:gridCol w:w="4954"/>
        <w:gridCol w:w="2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7572" w:type="dxa"/>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2025年度</w:t>
            </w:r>
            <w:r>
              <w:rPr>
                <w:rFonts w:ascii="宋体" w:hAnsi="宋体" w:eastAsia="宋体" w:cs="宋体"/>
                <w:i w:val="0"/>
                <w:iCs w:val="0"/>
                <w:color w:val="000000"/>
                <w:kern w:val="0"/>
                <w:sz w:val="30"/>
                <w:szCs w:val="30"/>
                <w:u w:val="none"/>
                <w:lang w:val="en-US" w:eastAsia="zh-CN" w:bidi="ar"/>
              </w:rPr>
              <w:t>一般公共预算支出经济分类情况表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34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科目编码</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科目名称</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工资福利支出</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商品和服务支出</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对个人和家庭的补助</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307</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债务利息及费用支出</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资本性支出（基本建设）</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资本性支出</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311</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对企业补助（基本建设）</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312</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对企业补助</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313</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对社会保障基金补助</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399</w:t>
            </w:r>
          </w:p>
        </w:tc>
        <w:tc>
          <w:tcPr>
            <w:tcW w:w="3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其他支出</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bl>
    <w:p>
      <w:pPr>
        <w:numPr>
          <w:ilvl w:val="0"/>
          <w:numId w:val="0"/>
        </w:numPr>
        <w:tabs>
          <w:tab w:val="left" w:pos="7513"/>
        </w:tabs>
        <w:adjustRightInd w:val="0"/>
        <w:snapToGrid w:val="0"/>
        <w:spacing w:line="600" w:lineRule="exact"/>
        <w:rPr>
          <w:rFonts w:hint="eastAsia" w:ascii="黑体" w:hAnsi="黑体" w:eastAsia="黑体"/>
          <w:sz w:val="32"/>
          <w:szCs w:val="32"/>
        </w:rPr>
      </w:pPr>
    </w:p>
    <w:p>
      <w:pPr>
        <w:numPr>
          <w:ilvl w:val="0"/>
          <w:numId w:val="2"/>
        </w:numPr>
        <w:tabs>
          <w:tab w:val="left" w:pos="7513"/>
        </w:tabs>
        <w:adjustRightInd w:val="0"/>
        <w:snapToGrid w:val="0"/>
        <w:spacing w:line="600" w:lineRule="exact"/>
        <w:ind w:left="0" w:leftChars="0" w:firstLine="0" w:firstLineChars="0"/>
        <w:rPr>
          <w:rFonts w:hint="eastAsia" w:ascii="黑体" w:hAnsi="黑体" w:eastAsia="黑体"/>
          <w:sz w:val="32"/>
          <w:szCs w:val="32"/>
        </w:rPr>
      </w:pPr>
      <w:r>
        <w:rPr>
          <w:rFonts w:hint="eastAsia" w:ascii="黑体" w:hAnsi="黑体" w:eastAsia="黑体"/>
          <w:sz w:val="32"/>
          <w:szCs w:val="32"/>
        </w:rPr>
        <w:t>一般公共预算基本支出经济分类情况表</w:t>
      </w:r>
    </w:p>
    <w:tbl>
      <w:tblPr>
        <w:tblStyle w:val="6"/>
        <w:tblW w:w="963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73"/>
        <w:gridCol w:w="5010"/>
        <w:gridCol w:w="22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9461" w:type="dxa"/>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2025年度</w:t>
            </w:r>
            <w:r>
              <w:rPr>
                <w:rFonts w:ascii="宋体" w:hAnsi="宋体" w:eastAsia="宋体" w:cs="宋体"/>
                <w:i w:val="0"/>
                <w:iCs w:val="0"/>
                <w:color w:val="000000"/>
                <w:kern w:val="0"/>
                <w:sz w:val="30"/>
                <w:szCs w:val="30"/>
                <w:u w:val="none"/>
                <w:lang w:val="en-US" w:eastAsia="zh-CN" w:bidi="ar"/>
              </w:rPr>
              <w:t>一般公共预算基本支出经济分类情况表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214"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科目编码</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科目名称</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工资福利支出</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30101</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基本工资</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30102</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津贴补贴</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30103</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奖金</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30106</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伙食补助费</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30107</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绩效工资</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30108</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机关事业单位基本养老保险缴费</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30109</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职业年金缴费</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30110</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职工基本医疗保险缴费</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30111</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公务员医疗补助缴费</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30112</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其他社会保障缴费</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30113</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住房公积金</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30114</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医疗费</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30199</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其他工资福利支出</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商品和服务支出</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30201</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办公费</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30202</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印刷费</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30204</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手续费</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30205</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水费</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30206</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电费</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30207</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邮电费</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30208</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取暖费</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30209</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物业管理费</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30211</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差旅费</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30212</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因公出国（境）费用</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30213</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维修(护)费</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30214</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租赁费</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30215</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会议费</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30216</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培训费</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30217</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公务接待费</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30218</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专用材料费</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30224</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被装购置费</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30225</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专用燃料费</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30226</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劳务费</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30227</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委托业务费</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30228</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工会经费</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30229</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福利费</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30231</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公务用车运行维护费</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30239</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其他交通费用</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30240</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税金及附加费用</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30299</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其他商品和服务支出</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对个人和家庭的补助</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30301</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离休费</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30302</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退休费</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30303</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退职（役）费</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30304</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抚恤金</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30305</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生活补助</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30306</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救济费</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30307</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医疗费补助</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30308</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助学金</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30309</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奖励金</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30310</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个人农业生产补贴</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30311</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代缴社会保险费</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30399</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其他对个人和家庭的补助</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307</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债务利息及费用支出</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30701</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国内债务付息</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30702</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国外债务付息</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30703</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国内债务发行费用</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30704</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国外债务发行费用</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资本性支出（基本建设）</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30901</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房屋建筑物购建</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30902</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办公设备购置</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30903</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专用设备购置</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30905</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基础设施建设</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30906</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大型修缮</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30907</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信息网络及软件购置更新</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30908</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物资储备</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30913</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公务用车购置</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30919</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其他交通工具购置</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30921</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文物和陈列品购置</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30922</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无形资产购置</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30999</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其他基本建设支出</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资本性支出</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31001</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房屋建筑物购建</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31002</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办公设备购置</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31003</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专用设备购置</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31005</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基础设施建设</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31006</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大型修缮</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31007</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信息网络及软件购置更新</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31008</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物资储备</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31009</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土地补偿</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31010</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安置补助</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31011</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地上附着物和青苗补偿</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31012</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拆迁补偿</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31013</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公务用车购置</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31019</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其他交通工具购置</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31021</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文物和陈列品购置</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31022</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无形资产购置</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31099</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其他资本性支出</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311</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对企业补助（基本建设）</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31101</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资本金注入（基本建设）</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31199</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其他对企业补助</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312</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对企业补助</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31201</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资本金注入</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31203</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政府投资基金股权投资</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31204</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费用补贴</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31205</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利息补贴</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31206</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其他资本性补助</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31299</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其他对企业补助</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313</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对社会保障基金补助</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31302</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对社会保险基金补助</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31303</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补充全国社会保障基金</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31304</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对机关事业单位职业年金的补助</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399</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其他支出</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39907</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国家赔偿费用支出</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39908</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对民间非营利组织和群众性自治组织补贴</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39909</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经常性赠与</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39910</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资本性赠与</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39999</w:t>
            </w:r>
          </w:p>
        </w:tc>
        <w:tc>
          <w:tcPr>
            <w:tcW w:w="4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其他支出</w:t>
            </w:r>
          </w:p>
        </w:tc>
        <w:tc>
          <w:tcPr>
            <w:tcW w:w="22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bl>
    <w:p>
      <w:pPr>
        <w:numPr>
          <w:ilvl w:val="0"/>
          <w:numId w:val="0"/>
        </w:numPr>
        <w:tabs>
          <w:tab w:val="left" w:pos="7513"/>
        </w:tabs>
        <w:adjustRightInd w:val="0"/>
        <w:snapToGrid w:val="0"/>
        <w:spacing w:line="600" w:lineRule="exact"/>
        <w:ind w:leftChars="0"/>
        <w:rPr>
          <w:rFonts w:hint="eastAsia" w:ascii="黑体" w:hAnsi="黑体" w:eastAsia="黑体"/>
          <w:sz w:val="32"/>
          <w:szCs w:val="32"/>
        </w:rPr>
      </w:pPr>
    </w:p>
    <w:p>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十、一般公共预算“三公”经费支出预算表</w:t>
      </w:r>
    </w:p>
    <w:tbl>
      <w:tblPr>
        <w:tblStyle w:val="6"/>
        <w:tblW w:w="9638" w:type="dxa"/>
        <w:tblInd w:w="91" w:type="dxa"/>
        <w:tblLayout w:type="autofit"/>
        <w:tblCellMar>
          <w:top w:w="0" w:type="dxa"/>
          <w:left w:w="108" w:type="dxa"/>
          <w:bottom w:w="0" w:type="dxa"/>
          <w:right w:w="108" w:type="dxa"/>
        </w:tblCellMar>
      </w:tblPr>
      <w:tblGrid>
        <w:gridCol w:w="5241"/>
        <w:gridCol w:w="4397"/>
      </w:tblGrid>
      <w:tr>
        <w:tblPrEx>
          <w:tblCellMar>
            <w:top w:w="0" w:type="dxa"/>
            <w:left w:w="108" w:type="dxa"/>
            <w:bottom w:w="0" w:type="dxa"/>
            <w:right w:w="108" w:type="dxa"/>
          </w:tblCellMar>
        </w:tblPrEx>
        <w:trPr>
          <w:trHeight w:val="570" w:hRule="atLeast"/>
        </w:trPr>
        <w:tc>
          <w:tcPr>
            <w:tcW w:w="7848" w:type="dxa"/>
            <w:gridSpan w:val="2"/>
            <w:tcBorders>
              <w:top w:val="nil"/>
              <w:left w:val="nil"/>
              <w:bottom w:val="nil"/>
              <w:right w:val="nil"/>
            </w:tcBorders>
            <w:shd w:val="clear" w:color="auto" w:fill="auto"/>
            <w:noWrap/>
            <w:vAlign w:val="center"/>
          </w:tcPr>
          <w:p>
            <w:pPr>
              <w:widowControl/>
              <w:spacing w:line="240" w:lineRule="auto"/>
              <w:jc w:val="center"/>
              <w:rPr>
                <w:rFonts w:ascii="方正小标宋简体" w:hAnsi="黑体" w:eastAsia="方正小标宋简体" w:cs="宋体"/>
                <w:kern w:val="0"/>
                <w:sz w:val="32"/>
                <w:szCs w:val="32"/>
              </w:rPr>
            </w:pPr>
            <w:r>
              <w:rPr>
                <w:rFonts w:hint="eastAsia" w:ascii="方正小标宋简体" w:hAnsi="黑体" w:eastAsia="方正小标宋简体" w:cs="宋体"/>
                <w:kern w:val="0"/>
                <w:sz w:val="32"/>
                <w:szCs w:val="32"/>
                <w:lang w:val="en-US" w:eastAsia="zh-CN"/>
              </w:rPr>
              <w:t>2025</w:t>
            </w:r>
            <w:r>
              <w:rPr>
                <w:rFonts w:hint="eastAsia" w:ascii="方正小标宋简体" w:hAnsi="黑体" w:eastAsia="方正小标宋简体" w:cs="宋体"/>
                <w:kern w:val="0"/>
                <w:sz w:val="32"/>
                <w:szCs w:val="32"/>
              </w:rPr>
              <w:t>年度一般公共预算“三公”经费支出预算表</w:t>
            </w:r>
          </w:p>
        </w:tc>
      </w:tr>
      <w:tr>
        <w:tblPrEx>
          <w:tblCellMar>
            <w:top w:w="0" w:type="dxa"/>
            <w:left w:w="108" w:type="dxa"/>
            <w:bottom w:w="0" w:type="dxa"/>
            <w:right w:w="108" w:type="dxa"/>
          </w:tblCellMar>
        </w:tblPrEx>
        <w:trPr>
          <w:trHeight w:val="360" w:hRule="atLeast"/>
        </w:trPr>
        <w:tc>
          <w:tcPr>
            <w:tcW w:w="4268" w:type="dxa"/>
            <w:tcBorders>
              <w:top w:val="nil"/>
              <w:left w:val="nil"/>
              <w:bottom w:val="nil"/>
              <w:right w:val="nil"/>
            </w:tcBorders>
            <w:shd w:val="clear" w:color="auto" w:fill="auto"/>
            <w:noWrap/>
            <w:vAlign w:val="center"/>
          </w:tcPr>
          <w:p>
            <w:pPr>
              <w:widowControl/>
              <w:spacing w:line="240" w:lineRule="auto"/>
              <w:jc w:val="left"/>
              <w:rPr>
                <w:rFonts w:ascii="楷体_GB2312" w:hAnsi="宋体" w:eastAsia="楷体_GB2312" w:cs="宋体"/>
                <w:kern w:val="0"/>
                <w:sz w:val="24"/>
                <w:szCs w:val="24"/>
              </w:rPr>
            </w:pPr>
          </w:p>
        </w:tc>
        <w:tc>
          <w:tcPr>
            <w:tcW w:w="3580" w:type="dxa"/>
            <w:tcBorders>
              <w:top w:val="nil"/>
              <w:left w:val="nil"/>
              <w:bottom w:val="nil"/>
              <w:right w:val="nil"/>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tblPrEx>
          <w:tblCellMar>
            <w:top w:w="0" w:type="dxa"/>
            <w:left w:w="108" w:type="dxa"/>
            <w:bottom w:w="0" w:type="dxa"/>
            <w:right w:w="108" w:type="dxa"/>
          </w:tblCellMar>
        </w:tblPrEx>
        <w:trPr>
          <w:trHeight w:val="402" w:hRule="atLeast"/>
        </w:trPr>
        <w:tc>
          <w:tcPr>
            <w:tcW w:w="42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项目</w:t>
            </w:r>
          </w:p>
        </w:tc>
        <w:tc>
          <w:tcPr>
            <w:tcW w:w="358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黑体" w:hAnsi="黑体" w:eastAsia="黑体" w:cs="宋体"/>
                <w:bCs/>
                <w:kern w:val="0"/>
                <w:sz w:val="22"/>
              </w:rPr>
            </w:pPr>
            <w:r>
              <w:rPr>
                <w:rFonts w:hint="eastAsia" w:ascii="黑体" w:hAnsi="黑体" w:eastAsia="黑体" w:cs="宋体"/>
                <w:bCs/>
                <w:kern w:val="0"/>
                <w:sz w:val="22"/>
              </w:rPr>
              <w:t>预算数</w:t>
            </w:r>
          </w:p>
        </w:tc>
      </w:tr>
      <w:tr>
        <w:trPr>
          <w:trHeight w:val="400"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35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1、因公出国（境）费用</w:t>
            </w:r>
          </w:p>
        </w:tc>
        <w:tc>
          <w:tcPr>
            <w:tcW w:w="35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2、公务接待费</w:t>
            </w:r>
          </w:p>
        </w:tc>
        <w:tc>
          <w:tcPr>
            <w:tcW w:w="35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3、公务用车购置及运行费</w:t>
            </w:r>
          </w:p>
        </w:tc>
        <w:tc>
          <w:tcPr>
            <w:tcW w:w="35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r>
      <w:tr>
        <w:trPr>
          <w:trHeight w:val="402" w:hRule="atLeast"/>
        </w:trPr>
        <w:tc>
          <w:tcPr>
            <w:tcW w:w="426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440" w:firstLineChars="200"/>
              <w:jc w:val="left"/>
              <w:rPr>
                <w:rFonts w:ascii="宋体" w:hAnsi="宋体" w:eastAsia="宋体" w:cs="宋体"/>
                <w:kern w:val="0"/>
                <w:sz w:val="22"/>
              </w:rPr>
            </w:pPr>
            <w:r>
              <w:rPr>
                <w:rFonts w:hint="eastAsia" w:ascii="宋体" w:hAnsi="宋体" w:eastAsia="宋体" w:cs="宋体"/>
                <w:kern w:val="0"/>
                <w:sz w:val="22"/>
              </w:rPr>
              <w:t>其中：（1）公务用车购置费</w:t>
            </w:r>
          </w:p>
        </w:tc>
        <w:tc>
          <w:tcPr>
            <w:tcW w:w="35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xml:space="preserve">          （2）公务用车运行费</w:t>
            </w:r>
          </w:p>
        </w:tc>
        <w:tc>
          <w:tcPr>
            <w:tcW w:w="358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r>
    </w:tbl>
    <w:p>
      <w:pPr>
        <w:spacing w:line="300" w:lineRule="auto"/>
        <w:ind w:firstLine="560" w:firstLineChars="200"/>
        <w:jc w:val="left"/>
        <w:rPr>
          <w:rFonts w:ascii="楷体" w:hAnsi="楷体" w:eastAsia="楷体" w:cs="Times New Roman"/>
          <w:kern w:val="0"/>
          <w:sz w:val="28"/>
          <w:szCs w:val="28"/>
        </w:rPr>
        <w:sectPr>
          <w:pgSz w:w="11906" w:h="16838"/>
          <w:pgMar w:top="1440" w:right="1800" w:bottom="1440" w:left="1800" w:header="851" w:footer="992" w:gutter="0"/>
          <w:cols w:space="425" w:num="1"/>
          <w:docGrid w:type="lines" w:linePitch="312" w:charSpace="0"/>
        </w:sectPr>
      </w:pPr>
      <w:r>
        <w:rPr>
          <w:rFonts w:hint="eastAsia" w:ascii="楷体" w:hAnsi="楷体" w:eastAsia="楷体" w:cs="Times New Roman"/>
          <w:kern w:val="0"/>
          <w:sz w:val="28"/>
          <w:szCs w:val="28"/>
        </w:rPr>
        <w:t>本</w:t>
      </w:r>
      <w:r>
        <w:rPr>
          <w:rFonts w:hint="eastAsia" w:ascii="楷体" w:hAnsi="楷体" w:eastAsia="楷体" w:cs="Times New Roman"/>
          <w:kern w:val="0"/>
          <w:sz w:val="28"/>
          <w:szCs w:val="28"/>
          <w:lang w:eastAsia="zh-CN"/>
        </w:rPr>
        <w:t>单位</w:t>
      </w:r>
      <w:r>
        <w:rPr>
          <w:rFonts w:hint="eastAsia" w:ascii="楷体" w:hAnsi="楷体" w:eastAsia="楷体" w:cs="Times New Roman"/>
          <w:kern w:val="0"/>
          <w:sz w:val="28"/>
          <w:szCs w:val="28"/>
          <w:lang w:val="en-US" w:eastAsia="zh-CN"/>
        </w:rPr>
        <w:t>2025</w:t>
      </w:r>
      <w:r>
        <w:rPr>
          <w:rFonts w:hint="eastAsia" w:ascii="楷体" w:hAnsi="楷体" w:eastAsia="楷体" w:cs="Times New Roman"/>
          <w:kern w:val="0"/>
          <w:sz w:val="28"/>
          <w:szCs w:val="28"/>
        </w:rPr>
        <w:t>年度</w:t>
      </w:r>
      <w:r>
        <w:rPr>
          <w:rFonts w:hint="eastAsia" w:ascii="楷体" w:hAnsi="楷体" w:eastAsia="楷体"/>
          <w:sz w:val="28"/>
          <w:szCs w:val="28"/>
        </w:rPr>
        <w:t>没有</w:t>
      </w:r>
      <w:r>
        <w:rPr>
          <w:rFonts w:hint="eastAsia" w:ascii="楷体" w:hAnsi="楷体" w:eastAsia="楷体" w:cs="Times New Roman"/>
          <w:kern w:val="0"/>
          <w:sz w:val="28"/>
          <w:szCs w:val="28"/>
        </w:rPr>
        <w:t>一般公共预算安排的‘三公’经费支出。</w:t>
      </w: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rPr>
          <w:rFonts w:ascii="黑体" w:hAnsi="黑体" w:eastAsia="黑体"/>
          <w:sz w:val="56"/>
          <w:szCs w:val="36"/>
          <w:lang w:eastAsia="zh-CN"/>
        </w:rPr>
      </w:pPr>
      <w:r>
        <w:rPr>
          <w:rFonts w:hint="eastAsia" w:ascii="黑体" w:hAnsi="黑体" w:eastAsia="黑体"/>
          <w:sz w:val="56"/>
          <w:szCs w:val="36"/>
          <w:lang w:eastAsia="zh-CN"/>
        </w:rPr>
        <w:t>第三部分</w:t>
      </w:r>
      <w:r>
        <w:rPr>
          <w:rFonts w:ascii="黑体" w:hAnsi="黑体" w:eastAsia="黑体"/>
          <w:sz w:val="56"/>
          <w:szCs w:val="36"/>
          <w:lang w:eastAsia="zh-CN"/>
        </w:rPr>
        <w:t xml:space="preserve"> </w:t>
      </w:r>
    </w:p>
    <w:p>
      <w:pPr>
        <w:pStyle w:val="2"/>
        <w:jc w:val="center"/>
        <w:rPr>
          <w:rFonts w:ascii="黑体" w:hAnsi="黑体" w:eastAsia="黑体"/>
          <w:sz w:val="56"/>
          <w:szCs w:val="36"/>
          <w:lang w:eastAsia="zh-CN"/>
        </w:rPr>
      </w:pPr>
      <w:r>
        <w:rPr>
          <w:rFonts w:hint="eastAsia" w:ascii="黑体" w:hAnsi="黑体" w:eastAsia="黑体"/>
          <w:sz w:val="56"/>
          <w:szCs w:val="36"/>
          <w:lang w:val="en-US" w:eastAsia="zh-CN"/>
        </w:rPr>
        <w:t>2025</w:t>
      </w:r>
      <w:r>
        <w:rPr>
          <w:rFonts w:hint="eastAsia" w:ascii="黑体" w:hAnsi="黑体" w:eastAsia="黑体"/>
          <w:sz w:val="56"/>
          <w:szCs w:val="36"/>
          <w:lang w:eastAsia="zh-CN"/>
        </w:rPr>
        <w:t>年度单位预算情况说明</w:t>
      </w:r>
    </w:p>
    <w:p>
      <w:pPr>
        <w:ind w:firstLine="640" w:firstLineChars="200"/>
        <w:rPr>
          <w:rFonts w:ascii="仿宋" w:hAnsi="仿宋" w:eastAsia="仿宋" w:cs="仿宋_GB2312"/>
          <w:sz w:val="32"/>
          <w:szCs w:val="32"/>
        </w:rPr>
      </w:pPr>
    </w:p>
    <w:p>
      <w:pPr>
        <w:tabs>
          <w:tab w:val="left" w:pos="7513"/>
        </w:tabs>
        <w:adjustRightInd w:val="0"/>
        <w:snapToGrid w:val="0"/>
        <w:spacing w:line="600" w:lineRule="exact"/>
        <w:rPr>
          <w:rFonts w:ascii="仿宋" w:hAnsi="仿宋" w:eastAsia="仿宋"/>
          <w:b/>
          <w:sz w:val="32"/>
          <w:szCs w:val="32"/>
        </w:rPr>
        <w:sectPr>
          <w:pgSz w:w="11906" w:h="16838"/>
          <w:pgMar w:top="1440" w:right="1800" w:bottom="1440" w:left="1800" w:header="851" w:footer="992" w:gutter="0"/>
          <w:cols w:space="425" w:num="1"/>
          <w:docGrid w:type="lines" w:linePitch="312" w:charSpace="0"/>
        </w:sectPr>
      </w:pPr>
    </w:p>
    <w:p>
      <w:pPr>
        <w:tabs>
          <w:tab w:val="left" w:pos="7513"/>
        </w:tabs>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一、预算收支总体情况</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按照综合预算的原则，</w:t>
      </w:r>
      <w:r>
        <w:rPr>
          <w:rFonts w:hint="eastAsia" w:ascii="仿宋" w:hAnsi="仿宋" w:eastAsia="仿宋"/>
          <w:sz w:val="32"/>
          <w:szCs w:val="32"/>
          <w:lang w:eastAsia="zh-CN"/>
        </w:rPr>
        <w:t>单位</w:t>
      </w:r>
      <w:r>
        <w:rPr>
          <w:rFonts w:hint="eastAsia" w:ascii="仿宋" w:hAnsi="仿宋" w:eastAsia="仿宋"/>
          <w:sz w:val="32"/>
          <w:szCs w:val="32"/>
        </w:rPr>
        <w:t>所有收入和支出均纳入</w:t>
      </w:r>
      <w:r>
        <w:rPr>
          <w:rFonts w:hint="eastAsia" w:ascii="仿宋" w:hAnsi="仿宋" w:eastAsia="仿宋"/>
          <w:sz w:val="32"/>
          <w:szCs w:val="32"/>
          <w:lang w:eastAsia="zh-CN"/>
        </w:rPr>
        <w:t>单位</w:t>
      </w:r>
      <w:r>
        <w:rPr>
          <w:rFonts w:hint="eastAsia" w:ascii="仿宋" w:hAnsi="仿宋" w:eastAsia="仿宋"/>
          <w:sz w:val="32"/>
          <w:szCs w:val="32"/>
        </w:rPr>
        <w:t>预算管理。</w:t>
      </w:r>
      <w:r>
        <w:rPr>
          <w:rFonts w:hint="eastAsia" w:ascii="仿宋" w:hAnsi="仿宋" w:eastAsia="仿宋"/>
          <w:sz w:val="32"/>
          <w:szCs w:val="32"/>
          <w:lang w:val="en-US" w:eastAsia="zh-CN"/>
        </w:rPr>
        <w:t>2025</w:t>
      </w:r>
      <w:r>
        <w:rPr>
          <w:rFonts w:hint="eastAsia" w:ascii="仿宋" w:hAnsi="仿宋" w:eastAsia="仿宋"/>
          <w:sz w:val="32"/>
          <w:szCs w:val="32"/>
        </w:rPr>
        <w:t>年，</w:t>
      </w:r>
      <w:r>
        <w:rPr>
          <w:rFonts w:hint="eastAsia" w:ascii="仿宋" w:hAnsi="仿宋" w:eastAsia="仿宋" w:cs="仿宋_GB2312"/>
          <w:sz w:val="32"/>
          <w:szCs w:val="32"/>
          <w:lang w:eastAsia="zh-CN"/>
        </w:rPr>
        <w:t>漳平市殡葬服务所</w:t>
      </w:r>
      <w:r>
        <w:rPr>
          <w:rFonts w:hint="eastAsia" w:ascii="仿宋" w:hAnsi="仿宋" w:eastAsia="仿宋"/>
          <w:sz w:val="32"/>
          <w:szCs w:val="32"/>
        </w:rPr>
        <w:t>收入预算为</w:t>
      </w:r>
      <w:r>
        <w:rPr>
          <w:rFonts w:hint="eastAsia" w:ascii="仿宋" w:hAnsi="仿宋" w:eastAsia="仿宋" w:cs="仿宋_GB2312"/>
          <w:sz w:val="32"/>
          <w:szCs w:val="32"/>
          <w:lang w:val="en-US" w:eastAsia="zh-CN"/>
        </w:rPr>
        <w:t>42.14</w:t>
      </w:r>
      <w:r>
        <w:rPr>
          <w:rFonts w:hint="eastAsia" w:ascii="仿宋" w:hAnsi="仿宋" w:eastAsia="仿宋"/>
          <w:sz w:val="32"/>
          <w:szCs w:val="32"/>
        </w:rPr>
        <w:t>万元，比上年减少</w:t>
      </w:r>
      <w:r>
        <w:rPr>
          <w:rFonts w:hint="eastAsia" w:ascii="仿宋" w:hAnsi="仿宋" w:eastAsia="仿宋" w:cs="仿宋_GB2312"/>
          <w:sz w:val="32"/>
          <w:szCs w:val="32"/>
          <w:lang w:val="en-US" w:eastAsia="zh-CN"/>
        </w:rPr>
        <w:t>11.12</w:t>
      </w:r>
      <w:r>
        <w:rPr>
          <w:rFonts w:hint="eastAsia" w:ascii="仿宋" w:hAnsi="仿宋" w:eastAsia="仿宋"/>
          <w:sz w:val="32"/>
          <w:szCs w:val="32"/>
        </w:rPr>
        <w:t>万元，主要原因是</w:t>
      </w:r>
      <w:r>
        <w:rPr>
          <w:rFonts w:hint="eastAsia" w:ascii="仿宋" w:hAnsi="仿宋" w:eastAsia="仿宋" w:cs="仿宋_GB2312"/>
          <w:sz w:val="32"/>
          <w:szCs w:val="32"/>
          <w:lang w:eastAsia="zh-CN"/>
        </w:rPr>
        <w:t>人员减少</w:t>
      </w:r>
      <w:r>
        <w:rPr>
          <w:rFonts w:hint="eastAsia" w:ascii="仿宋" w:hAnsi="仿宋" w:eastAsia="仿宋" w:cs="仿宋_GB2312"/>
          <w:sz w:val="32"/>
          <w:szCs w:val="32"/>
        </w:rPr>
        <w:t>。</w:t>
      </w:r>
      <w:r>
        <w:rPr>
          <w:rFonts w:hint="eastAsia" w:ascii="仿宋" w:hAnsi="仿宋" w:eastAsia="仿宋"/>
          <w:sz w:val="32"/>
          <w:szCs w:val="32"/>
        </w:rPr>
        <w:t>其中：一般公共预算拨款收入</w:t>
      </w:r>
      <w:r>
        <w:rPr>
          <w:rFonts w:hint="eastAsia" w:ascii="仿宋" w:hAnsi="仿宋" w:eastAsia="仿宋" w:cs="仿宋_GB2312"/>
          <w:sz w:val="32"/>
          <w:szCs w:val="32"/>
          <w:lang w:val="en-US" w:eastAsia="zh-CN"/>
        </w:rPr>
        <w:t>42.14</w:t>
      </w:r>
      <w:r>
        <w:rPr>
          <w:rFonts w:hint="eastAsia" w:ascii="仿宋" w:hAnsi="仿宋" w:eastAsia="仿宋"/>
          <w:sz w:val="32"/>
          <w:szCs w:val="32"/>
        </w:rPr>
        <w:t>万元、政府性基金预算拨款收入</w:t>
      </w:r>
      <w:r>
        <w:rPr>
          <w:rFonts w:hint="eastAsia" w:ascii="仿宋" w:hAnsi="仿宋" w:eastAsia="仿宋" w:cs="仿宋_GB2312"/>
          <w:sz w:val="32"/>
          <w:szCs w:val="32"/>
          <w:lang w:val="en-US" w:eastAsia="zh-CN"/>
        </w:rPr>
        <w:t>0</w:t>
      </w:r>
      <w:r>
        <w:rPr>
          <w:rFonts w:hint="eastAsia" w:ascii="仿宋" w:hAnsi="仿宋" w:eastAsia="仿宋"/>
          <w:sz w:val="32"/>
          <w:szCs w:val="32"/>
        </w:rPr>
        <w:t>万元、国有资本经营预算拨款收入</w:t>
      </w:r>
      <w:r>
        <w:rPr>
          <w:rFonts w:hint="eastAsia" w:ascii="仿宋" w:hAnsi="仿宋" w:eastAsia="仿宋" w:cs="仿宋_GB2312"/>
          <w:sz w:val="32"/>
          <w:szCs w:val="32"/>
          <w:lang w:val="en-US" w:eastAsia="zh-CN"/>
        </w:rPr>
        <w:t>0</w:t>
      </w:r>
      <w:r>
        <w:rPr>
          <w:rFonts w:hint="eastAsia" w:ascii="仿宋" w:hAnsi="仿宋" w:eastAsia="仿宋"/>
          <w:sz w:val="32"/>
          <w:szCs w:val="32"/>
        </w:rPr>
        <w:t>万元、财政专户管理资金收入</w:t>
      </w:r>
      <w:r>
        <w:rPr>
          <w:rFonts w:hint="eastAsia" w:ascii="仿宋" w:hAnsi="仿宋" w:eastAsia="仿宋" w:cs="仿宋_GB2312"/>
          <w:sz w:val="32"/>
          <w:szCs w:val="32"/>
          <w:lang w:val="en-US" w:eastAsia="zh-CN"/>
        </w:rPr>
        <w:t>0</w:t>
      </w:r>
      <w:r>
        <w:rPr>
          <w:rFonts w:hint="eastAsia" w:ascii="仿宋" w:hAnsi="仿宋" w:eastAsia="仿宋"/>
          <w:sz w:val="32"/>
          <w:szCs w:val="32"/>
        </w:rPr>
        <w:t>万元、事业收入</w:t>
      </w:r>
      <w:r>
        <w:rPr>
          <w:rFonts w:hint="eastAsia" w:ascii="仿宋" w:hAnsi="仿宋" w:eastAsia="仿宋" w:cs="仿宋_GB2312"/>
          <w:sz w:val="32"/>
          <w:szCs w:val="32"/>
          <w:lang w:val="en-US" w:eastAsia="zh-CN"/>
        </w:rPr>
        <w:t>0</w:t>
      </w:r>
      <w:r>
        <w:rPr>
          <w:rFonts w:hint="eastAsia" w:ascii="仿宋" w:hAnsi="仿宋" w:eastAsia="仿宋"/>
          <w:sz w:val="32"/>
          <w:szCs w:val="32"/>
        </w:rPr>
        <w:t>万元、事业单位经营收入</w:t>
      </w:r>
      <w:r>
        <w:rPr>
          <w:rFonts w:hint="eastAsia" w:ascii="仿宋" w:hAnsi="仿宋" w:eastAsia="仿宋" w:cs="仿宋_GB2312"/>
          <w:sz w:val="32"/>
          <w:szCs w:val="32"/>
          <w:lang w:val="en-US" w:eastAsia="zh-CN"/>
        </w:rPr>
        <w:t>0</w:t>
      </w:r>
      <w:r>
        <w:rPr>
          <w:rFonts w:hint="eastAsia" w:ascii="仿宋" w:hAnsi="仿宋" w:eastAsia="仿宋"/>
          <w:sz w:val="32"/>
          <w:szCs w:val="32"/>
        </w:rPr>
        <w:t>万元、上级补助收入</w:t>
      </w:r>
      <w:r>
        <w:rPr>
          <w:rFonts w:hint="eastAsia" w:ascii="仿宋" w:hAnsi="仿宋" w:eastAsia="仿宋" w:cs="仿宋_GB2312"/>
          <w:sz w:val="32"/>
          <w:szCs w:val="32"/>
          <w:lang w:val="en-US" w:eastAsia="zh-CN"/>
        </w:rPr>
        <w:t>0</w:t>
      </w:r>
      <w:r>
        <w:rPr>
          <w:rFonts w:hint="eastAsia" w:ascii="仿宋" w:hAnsi="仿宋" w:eastAsia="仿宋"/>
          <w:sz w:val="32"/>
          <w:szCs w:val="32"/>
        </w:rPr>
        <w:t>万元、附属单位上缴收入</w:t>
      </w:r>
      <w:r>
        <w:rPr>
          <w:rFonts w:hint="eastAsia" w:ascii="仿宋" w:hAnsi="仿宋" w:eastAsia="仿宋" w:cs="仿宋_GB2312"/>
          <w:sz w:val="32"/>
          <w:szCs w:val="32"/>
          <w:lang w:val="en-US" w:eastAsia="zh-CN"/>
        </w:rPr>
        <w:t>0</w:t>
      </w:r>
      <w:r>
        <w:rPr>
          <w:rFonts w:hint="eastAsia" w:ascii="仿宋" w:hAnsi="仿宋" w:eastAsia="仿宋"/>
          <w:sz w:val="32"/>
          <w:szCs w:val="32"/>
        </w:rPr>
        <w:t>万元、其他收入</w:t>
      </w:r>
      <w:r>
        <w:rPr>
          <w:rFonts w:hint="eastAsia" w:ascii="仿宋" w:hAnsi="仿宋" w:eastAsia="仿宋" w:cs="仿宋_GB2312"/>
          <w:sz w:val="32"/>
          <w:szCs w:val="32"/>
          <w:lang w:val="en-US" w:eastAsia="zh-CN"/>
        </w:rPr>
        <w:t>0</w:t>
      </w:r>
      <w:r>
        <w:rPr>
          <w:rFonts w:hint="eastAsia" w:ascii="仿宋" w:hAnsi="仿宋" w:eastAsia="仿宋"/>
          <w:sz w:val="32"/>
          <w:szCs w:val="32"/>
        </w:rPr>
        <w:t>万元、上年结转结余</w:t>
      </w:r>
      <w:r>
        <w:rPr>
          <w:rFonts w:hint="eastAsia" w:ascii="仿宋" w:hAnsi="仿宋" w:eastAsia="仿宋" w:cs="仿宋_GB2312"/>
          <w:sz w:val="32"/>
          <w:szCs w:val="32"/>
          <w:lang w:val="en-US" w:eastAsia="zh-CN"/>
        </w:rPr>
        <w:t>0</w:t>
      </w:r>
      <w:r>
        <w:rPr>
          <w:rFonts w:hint="eastAsia" w:ascii="仿宋" w:hAnsi="仿宋" w:eastAsia="仿宋"/>
          <w:sz w:val="32"/>
          <w:szCs w:val="32"/>
        </w:rPr>
        <w:t>万元。</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相应安排支出预算</w:t>
      </w:r>
      <w:r>
        <w:rPr>
          <w:rFonts w:hint="eastAsia" w:ascii="仿宋" w:hAnsi="仿宋" w:eastAsia="仿宋" w:cs="仿宋_GB2312"/>
          <w:sz w:val="32"/>
          <w:szCs w:val="32"/>
          <w:lang w:val="en-US" w:eastAsia="zh-CN"/>
        </w:rPr>
        <w:t>42.14</w:t>
      </w:r>
      <w:r>
        <w:rPr>
          <w:rFonts w:hint="eastAsia" w:ascii="仿宋" w:hAnsi="仿宋" w:eastAsia="仿宋"/>
          <w:sz w:val="32"/>
          <w:szCs w:val="32"/>
        </w:rPr>
        <w:t>万元，比上年减少</w:t>
      </w:r>
      <w:r>
        <w:rPr>
          <w:rFonts w:hint="eastAsia" w:ascii="仿宋" w:hAnsi="仿宋" w:eastAsia="仿宋" w:cs="仿宋_GB2312"/>
          <w:sz w:val="32"/>
          <w:szCs w:val="32"/>
          <w:lang w:val="en-US" w:eastAsia="zh-CN"/>
        </w:rPr>
        <w:t>11.12</w:t>
      </w:r>
      <w:r>
        <w:rPr>
          <w:rFonts w:hint="eastAsia" w:ascii="仿宋" w:hAnsi="仿宋" w:eastAsia="仿宋"/>
          <w:sz w:val="32"/>
          <w:szCs w:val="32"/>
        </w:rPr>
        <w:t>万元，主要原因是</w:t>
      </w:r>
      <w:r>
        <w:rPr>
          <w:rFonts w:hint="eastAsia" w:ascii="仿宋" w:hAnsi="仿宋" w:eastAsia="仿宋" w:cs="仿宋_GB2312"/>
          <w:sz w:val="32"/>
          <w:szCs w:val="32"/>
          <w:lang w:eastAsia="zh-CN"/>
        </w:rPr>
        <w:t>人员减少</w:t>
      </w:r>
      <w:r>
        <w:rPr>
          <w:rFonts w:hint="eastAsia" w:ascii="仿宋" w:hAnsi="仿宋" w:eastAsia="仿宋" w:cs="仿宋_GB2312"/>
          <w:sz w:val="32"/>
          <w:szCs w:val="32"/>
        </w:rPr>
        <w:t>。</w:t>
      </w:r>
      <w:r>
        <w:rPr>
          <w:rFonts w:hint="eastAsia" w:ascii="仿宋" w:hAnsi="仿宋" w:eastAsia="仿宋"/>
          <w:sz w:val="32"/>
          <w:szCs w:val="32"/>
        </w:rPr>
        <w:t>其中：基本支出</w:t>
      </w:r>
      <w:r>
        <w:rPr>
          <w:rFonts w:hint="eastAsia" w:ascii="仿宋" w:hAnsi="仿宋" w:eastAsia="仿宋" w:cs="仿宋_GB2312"/>
          <w:sz w:val="32"/>
          <w:szCs w:val="32"/>
          <w:lang w:val="en-US" w:eastAsia="zh-CN"/>
        </w:rPr>
        <w:t>42.14</w:t>
      </w:r>
      <w:r>
        <w:rPr>
          <w:rFonts w:hint="eastAsia" w:ascii="仿宋" w:hAnsi="仿宋" w:eastAsia="仿宋"/>
          <w:sz w:val="32"/>
          <w:szCs w:val="32"/>
        </w:rPr>
        <w:t>万元、项目支出</w:t>
      </w:r>
      <w:r>
        <w:rPr>
          <w:rFonts w:hint="eastAsia" w:ascii="仿宋" w:hAnsi="仿宋" w:eastAsia="仿宋" w:cs="仿宋_GB2312"/>
          <w:sz w:val="32"/>
          <w:szCs w:val="32"/>
          <w:lang w:val="en-US" w:eastAsia="zh-CN"/>
        </w:rPr>
        <w:t>0</w:t>
      </w:r>
      <w:r>
        <w:rPr>
          <w:rFonts w:hint="eastAsia" w:ascii="仿宋" w:hAnsi="仿宋" w:eastAsia="仿宋"/>
          <w:sz w:val="32"/>
          <w:szCs w:val="32"/>
        </w:rPr>
        <w:t>万元、事业单位经营支出</w:t>
      </w:r>
      <w:r>
        <w:rPr>
          <w:rFonts w:hint="eastAsia" w:ascii="仿宋" w:hAnsi="仿宋" w:eastAsia="仿宋" w:cs="仿宋_GB2312"/>
          <w:sz w:val="32"/>
          <w:szCs w:val="32"/>
          <w:lang w:val="en-US" w:eastAsia="zh-CN"/>
        </w:rPr>
        <w:t>0</w:t>
      </w:r>
      <w:r>
        <w:rPr>
          <w:rFonts w:hint="eastAsia" w:ascii="仿宋" w:hAnsi="仿宋" w:eastAsia="仿宋"/>
          <w:sz w:val="32"/>
          <w:szCs w:val="32"/>
        </w:rPr>
        <w:t>万元、上缴上级支出</w:t>
      </w:r>
      <w:r>
        <w:rPr>
          <w:rFonts w:hint="eastAsia" w:ascii="仿宋" w:hAnsi="仿宋" w:eastAsia="仿宋" w:cs="仿宋_GB2312"/>
          <w:sz w:val="32"/>
          <w:szCs w:val="32"/>
          <w:lang w:val="en-US" w:eastAsia="zh-CN"/>
        </w:rPr>
        <w:t>0</w:t>
      </w:r>
      <w:r>
        <w:rPr>
          <w:rFonts w:hint="eastAsia" w:ascii="仿宋" w:hAnsi="仿宋" w:eastAsia="仿宋"/>
          <w:sz w:val="32"/>
          <w:szCs w:val="32"/>
        </w:rPr>
        <w:t>万元。</w:t>
      </w:r>
    </w:p>
    <w:p>
      <w:pPr>
        <w:tabs>
          <w:tab w:val="left" w:pos="7513"/>
        </w:tabs>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二、一般公共预算拨款支出情况</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宋体"/>
          <w:bCs/>
          <w:sz w:val="32"/>
          <w:szCs w:val="32"/>
          <w:lang w:val="en-US" w:eastAsia="zh-CN"/>
        </w:rPr>
        <w:t>2025</w:t>
      </w:r>
      <w:r>
        <w:rPr>
          <w:rFonts w:hint="eastAsia" w:ascii="仿宋" w:hAnsi="仿宋" w:eastAsia="仿宋" w:cs="仿宋_GB2312"/>
          <w:sz w:val="32"/>
          <w:szCs w:val="32"/>
        </w:rPr>
        <w:t>年度一般公共预算拨款支出</w:t>
      </w:r>
      <w:r>
        <w:rPr>
          <w:rFonts w:hint="eastAsia" w:ascii="仿宋" w:hAnsi="仿宋" w:eastAsia="仿宋" w:cs="仿宋_GB2312"/>
          <w:sz w:val="32"/>
          <w:szCs w:val="32"/>
          <w:lang w:val="en-US" w:eastAsia="zh-CN"/>
        </w:rPr>
        <w:t>42.14</w:t>
      </w:r>
      <w:r>
        <w:rPr>
          <w:rFonts w:hint="eastAsia" w:ascii="仿宋" w:hAnsi="仿宋" w:eastAsia="仿宋" w:cs="仿宋_GB2312"/>
          <w:sz w:val="32"/>
          <w:szCs w:val="32"/>
        </w:rPr>
        <w:t>万元</w:t>
      </w:r>
      <w:r>
        <w:rPr>
          <w:rFonts w:hint="eastAsia" w:ascii="仿宋" w:hAnsi="仿宋" w:eastAsia="仿宋"/>
          <w:sz w:val="32"/>
          <w:szCs w:val="32"/>
        </w:rPr>
        <w:t>，比上年减少</w:t>
      </w:r>
      <w:r>
        <w:rPr>
          <w:rFonts w:hint="eastAsia" w:ascii="仿宋" w:hAnsi="仿宋" w:eastAsia="仿宋" w:cs="仿宋_GB2312"/>
          <w:kern w:val="0"/>
          <w:sz w:val="32"/>
          <w:szCs w:val="32"/>
          <w:lang w:val="en-US" w:eastAsia="zh-CN"/>
        </w:rPr>
        <w:t>11.12</w:t>
      </w:r>
      <w:r>
        <w:rPr>
          <w:rFonts w:hint="eastAsia" w:ascii="仿宋" w:hAnsi="仿宋" w:eastAsia="仿宋" w:cs="仿宋_GB2312"/>
          <w:kern w:val="0"/>
          <w:sz w:val="32"/>
          <w:szCs w:val="32"/>
        </w:rPr>
        <w:t>万元，</w:t>
      </w:r>
      <w:r>
        <w:rPr>
          <w:rFonts w:hint="eastAsia" w:ascii="仿宋" w:hAnsi="仿宋" w:eastAsia="仿宋" w:cs="仿宋_GB2312"/>
          <w:sz w:val="32"/>
          <w:szCs w:val="32"/>
        </w:rPr>
        <w:t>降低</w:t>
      </w:r>
      <w:r>
        <w:rPr>
          <w:rFonts w:hint="eastAsia" w:ascii="仿宋" w:hAnsi="仿宋" w:eastAsia="仿宋" w:cs="仿宋_GB2312"/>
          <w:sz w:val="32"/>
          <w:szCs w:val="32"/>
          <w:lang w:val="en-US" w:eastAsia="zh-CN"/>
        </w:rPr>
        <w:t>21</w:t>
      </w:r>
      <w:r>
        <w:rPr>
          <w:rFonts w:ascii="仿宋" w:hAnsi="仿宋" w:eastAsia="仿宋" w:cs="仿宋_GB2312"/>
          <w:sz w:val="32"/>
          <w:szCs w:val="32"/>
        </w:rPr>
        <w:t>%</w:t>
      </w:r>
      <w:r>
        <w:rPr>
          <w:rFonts w:hint="eastAsia" w:ascii="仿宋" w:hAnsi="仿宋" w:eastAsia="仿宋" w:cs="仿宋_GB2312"/>
          <w:sz w:val="32"/>
          <w:szCs w:val="32"/>
        </w:rPr>
        <w:t>，</w:t>
      </w:r>
      <w:r>
        <w:rPr>
          <w:rFonts w:hint="eastAsia" w:ascii="仿宋" w:hAnsi="仿宋" w:eastAsia="仿宋"/>
          <w:sz w:val="32"/>
          <w:szCs w:val="32"/>
        </w:rPr>
        <w:t>主要原因是</w:t>
      </w:r>
      <w:r>
        <w:rPr>
          <w:rFonts w:hint="eastAsia" w:ascii="仿宋" w:hAnsi="仿宋" w:eastAsia="仿宋" w:cs="仿宋_GB2312"/>
          <w:sz w:val="32"/>
          <w:szCs w:val="32"/>
          <w:lang w:eastAsia="zh-CN"/>
        </w:rPr>
        <w:t>人员减少</w:t>
      </w:r>
      <w:r>
        <w:rPr>
          <w:rFonts w:hint="eastAsia" w:ascii="仿宋" w:hAnsi="仿宋" w:eastAsia="仿宋" w:cs="仿宋_GB2312"/>
          <w:sz w:val="32"/>
          <w:szCs w:val="32"/>
        </w:rPr>
        <w:t>。按照党中央、国务院和省委、省政府关于过紧日子的有关要求，厉行节约办一切事业，大力压减一般性支</w:t>
      </w:r>
      <w:r>
        <w:rPr>
          <w:rFonts w:hint="eastAsia" w:ascii="仿宋" w:hAnsi="仿宋" w:eastAsia="仿宋"/>
          <w:sz w:val="32"/>
          <w:szCs w:val="32"/>
        </w:rPr>
        <w:t>出，重点压减了公用经费和培训等项目支出中涉及的非急需非刚性支出，同时合理</w:t>
      </w:r>
      <w:r>
        <w:rPr>
          <w:rFonts w:hint="eastAsia" w:ascii="仿宋" w:hAnsi="仿宋" w:eastAsia="仿宋" w:cs="仿宋_GB2312"/>
          <w:sz w:val="32"/>
          <w:szCs w:val="32"/>
        </w:rPr>
        <w:t>保障了</w:t>
      </w:r>
      <w:r>
        <w:rPr>
          <w:rFonts w:hint="eastAsia" w:ascii="仿宋" w:hAnsi="仿宋" w:eastAsia="仿宋" w:cs="仿宋_GB2312"/>
          <w:sz w:val="32"/>
          <w:szCs w:val="32"/>
          <w:lang w:eastAsia="zh-CN"/>
        </w:rPr>
        <w:t>殡葬服务</w:t>
      </w:r>
      <w:r>
        <w:rPr>
          <w:rFonts w:hint="eastAsia" w:ascii="仿宋" w:hAnsi="仿宋" w:eastAsia="仿宋" w:cs="仿宋_GB2312"/>
          <w:sz w:val="32"/>
          <w:szCs w:val="32"/>
        </w:rPr>
        <w:t>工作的支出需求，体现在有关支出科目中。</w:t>
      </w:r>
      <w:r>
        <w:rPr>
          <w:rFonts w:hint="eastAsia" w:ascii="仿宋" w:hAnsi="仿宋" w:eastAsia="仿宋" w:cs="宋体"/>
          <w:bCs/>
          <w:sz w:val="32"/>
          <w:szCs w:val="32"/>
        </w:rPr>
        <w:t>其中（按项级科目分类统计）</w:t>
      </w:r>
      <w:r>
        <w:rPr>
          <w:rFonts w:hint="eastAsia" w:ascii="仿宋" w:hAnsi="仿宋" w:eastAsia="仿宋" w:cs="仿宋_GB2312"/>
          <w:sz w:val="32"/>
          <w:szCs w:val="32"/>
        </w:rPr>
        <w:t>：</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（一）</w:t>
      </w:r>
      <w:r>
        <w:rPr>
          <w:rFonts w:hint="eastAsia" w:ascii="仿宋" w:hAnsi="仿宋" w:eastAsia="仿宋" w:cs="仿宋_GB2312"/>
          <w:sz w:val="32"/>
          <w:szCs w:val="32"/>
          <w:lang w:val="en-US" w:eastAsia="zh-CN"/>
        </w:rPr>
        <w:t>2081004-殡葬39.77万</w:t>
      </w:r>
      <w:r>
        <w:rPr>
          <w:rFonts w:hint="eastAsia" w:ascii="仿宋" w:hAnsi="仿宋" w:eastAsia="仿宋" w:cs="仿宋_GB2312"/>
          <w:sz w:val="32"/>
          <w:szCs w:val="32"/>
        </w:rPr>
        <w:t>元。主要用于</w:t>
      </w:r>
      <w:r>
        <w:rPr>
          <w:rFonts w:hint="eastAsia" w:ascii="仿宋" w:hAnsi="仿宋" w:eastAsia="仿宋" w:cs="仿宋_GB2312"/>
          <w:sz w:val="32"/>
          <w:szCs w:val="32"/>
          <w:lang w:eastAsia="zh-CN"/>
        </w:rPr>
        <w:t>单位基本</w:t>
      </w:r>
      <w:r>
        <w:rPr>
          <w:rFonts w:hint="eastAsia" w:ascii="仿宋" w:hAnsi="仿宋" w:eastAsia="仿宋" w:cs="仿宋_GB2312"/>
          <w:sz w:val="32"/>
          <w:szCs w:val="32"/>
        </w:rPr>
        <w:t>支出。</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（二）</w:t>
      </w:r>
      <w:r>
        <w:rPr>
          <w:rFonts w:hint="eastAsia" w:ascii="仿宋" w:hAnsi="仿宋" w:eastAsia="仿宋" w:cs="仿宋_GB2312"/>
          <w:sz w:val="32"/>
          <w:szCs w:val="32"/>
          <w:lang w:val="en-US" w:eastAsia="zh-CN"/>
        </w:rPr>
        <w:t>2210201-住房公积金2.37</w:t>
      </w:r>
      <w:r>
        <w:rPr>
          <w:rFonts w:hint="eastAsia" w:ascii="仿宋" w:hAnsi="仿宋" w:eastAsia="仿宋" w:cs="仿宋_GB2312"/>
          <w:sz w:val="32"/>
          <w:szCs w:val="32"/>
        </w:rPr>
        <w:t>元。主要用于</w:t>
      </w:r>
      <w:r>
        <w:rPr>
          <w:rFonts w:hint="eastAsia" w:ascii="仿宋" w:hAnsi="仿宋" w:eastAsia="仿宋" w:cs="仿宋_GB2312"/>
          <w:sz w:val="32"/>
          <w:szCs w:val="32"/>
          <w:lang w:eastAsia="zh-CN"/>
        </w:rPr>
        <w:t>住房公积金</w:t>
      </w:r>
      <w:r>
        <w:rPr>
          <w:rFonts w:hint="eastAsia" w:ascii="仿宋" w:hAnsi="仿宋" w:eastAsia="仿宋" w:cs="仿宋_GB2312"/>
          <w:sz w:val="32"/>
          <w:szCs w:val="32"/>
        </w:rPr>
        <w:t>支出。</w:t>
      </w:r>
    </w:p>
    <w:p>
      <w:pPr>
        <w:tabs>
          <w:tab w:val="left" w:pos="7513"/>
        </w:tabs>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三、政府性基金预算拨款支出情况</w:t>
      </w:r>
    </w:p>
    <w:p>
      <w:pPr>
        <w:tabs>
          <w:tab w:val="left" w:pos="7513"/>
        </w:tabs>
        <w:adjustRightInd w:val="0"/>
        <w:snapToGrid w:val="0"/>
        <w:spacing w:line="600" w:lineRule="exact"/>
        <w:ind w:firstLine="640" w:firstLineChars="200"/>
        <w:rPr>
          <w:rFonts w:ascii="楷体" w:hAnsi="楷体" w:eastAsia="楷体"/>
          <w:sz w:val="32"/>
          <w:szCs w:val="32"/>
        </w:rPr>
      </w:pPr>
      <w:r>
        <w:rPr>
          <w:rFonts w:hint="eastAsia" w:ascii="楷体" w:hAnsi="楷体" w:eastAsia="楷体" w:cs="仿宋_GB2312"/>
          <w:sz w:val="32"/>
          <w:szCs w:val="32"/>
        </w:rPr>
        <w:t>本</w:t>
      </w:r>
      <w:r>
        <w:rPr>
          <w:rFonts w:hint="eastAsia" w:ascii="楷体" w:hAnsi="楷体" w:eastAsia="楷体" w:cs="仿宋_GB2312"/>
          <w:sz w:val="32"/>
          <w:szCs w:val="32"/>
          <w:lang w:eastAsia="zh-CN"/>
        </w:rPr>
        <w:t>单位</w:t>
      </w:r>
      <w:r>
        <w:rPr>
          <w:rFonts w:hint="eastAsia" w:ascii="楷体" w:hAnsi="楷体" w:eastAsia="楷体" w:cs="仿宋_GB2312"/>
          <w:sz w:val="32"/>
          <w:szCs w:val="32"/>
          <w:lang w:val="en-US" w:eastAsia="zh-CN"/>
        </w:rPr>
        <w:t>2025</w:t>
      </w:r>
      <w:r>
        <w:rPr>
          <w:rFonts w:hint="eastAsia" w:ascii="楷体" w:hAnsi="楷体" w:eastAsia="楷体" w:cs="仿宋_GB2312"/>
          <w:sz w:val="32"/>
          <w:szCs w:val="32"/>
        </w:rPr>
        <w:t>年度没有使用政府性基金预算拨款安排的支出。</w:t>
      </w:r>
    </w:p>
    <w:p>
      <w:pPr>
        <w:tabs>
          <w:tab w:val="left" w:pos="7513"/>
        </w:tabs>
        <w:adjustRightInd w:val="0"/>
        <w:snapToGrid w:val="0"/>
        <w:spacing w:line="60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四、国有资本经营预算拨款支出情况</w:t>
      </w:r>
    </w:p>
    <w:p>
      <w:pPr>
        <w:tabs>
          <w:tab w:val="left" w:pos="7513"/>
        </w:tabs>
        <w:adjustRightInd w:val="0"/>
        <w:snapToGrid w:val="0"/>
        <w:spacing w:line="600" w:lineRule="exact"/>
        <w:ind w:firstLine="640" w:firstLineChars="200"/>
        <w:rPr>
          <w:rFonts w:ascii="楷体" w:hAnsi="楷体" w:eastAsia="楷体" w:cs="仿宋_GB2312"/>
          <w:sz w:val="32"/>
          <w:szCs w:val="32"/>
        </w:rPr>
      </w:pPr>
      <w:r>
        <w:rPr>
          <w:rFonts w:hint="eastAsia" w:ascii="楷体" w:hAnsi="楷体" w:eastAsia="楷体" w:cs="仿宋_GB2312"/>
          <w:sz w:val="32"/>
          <w:szCs w:val="32"/>
        </w:rPr>
        <w:t>本</w:t>
      </w:r>
      <w:r>
        <w:rPr>
          <w:rFonts w:hint="eastAsia" w:ascii="楷体" w:hAnsi="楷体" w:eastAsia="楷体" w:cs="仿宋_GB2312"/>
          <w:sz w:val="32"/>
          <w:szCs w:val="32"/>
          <w:lang w:eastAsia="zh-CN"/>
        </w:rPr>
        <w:t>单位</w:t>
      </w:r>
      <w:r>
        <w:rPr>
          <w:rFonts w:hint="eastAsia" w:ascii="楷体" w:hAnsi="楷体" w:eastAsia="楷体" w:cs="仿宋_GB2312"/>
          <w:sz w:val="32"/>
          <w:szCs w:val="32"/>
          <w:lang w:val="en-US" w:eastAsia="zh-CN"/>
        </w:rPr>
        <w:t>2025</w:t>
      </w:r>
      <w:r>
        <w:rPr>
          <w:rFonts w:hint="eastAsia" w:ascii="楷体" w:hAnsi="楷体" w:eastAsia="楷体" w:cs="仿宋_GB2312"/>
          <w:sz w:val="32"/>
          <w:szCs w:val="32"/>
        </w:rPr>
        <w:t>年度没有使用国有资本经营预算拨款安排的支出。</w:t>
      </w:r>
    </w:p>
    <w:p>
      <w:pPr>
        <w:tabs>
          <w:tab w:val="left" w:pos="7513"/>
        </w:tabs>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五、一般公共预算拨款基本支出情况</w:t>
      </w:r>
    </w:p>
    <w:p>
      <w:pPr>
        <w:tabs>
          <w:tab w:val="left" w:pos="7513"/>
        </w:tabs>
        <w:adjustRightInd w:val="0"/>
        <w:snapToGrid w:val="0"/>
        <w:spacing w:line="600" w:lineRule="exact"/>
        <w:ind w:firstLine="800" w:firstLineChars="250"/>
        <w:rPr>
          <w:rFonts w:ascii="仿宋" w:hAnsi="仿宋" w:eastAsia="仿宋" w:cs="仿宋_GB2312"/>
          <w:sz w:val="32"/>
          <w:szCs w:val="32"/>
        </w:rPr>
      </w:pPr>
      <w:r>
        <w:rPr>
          <w:rFonts w:hint="eastAsia" w:ascii="仿宋" w:hAnsi="仿宋" w:eastAsia="仿宋" w:cs="宋体"/>
          <w:bCs/>
          <w:sz w:val="32"/>
          <w:szCs w:val="32"/>
          <w:lang w:val="en-US" w:eastAsia="zh-CN"/>
        </w:rPr>
        <w:t>2025</w:t>
      </w:r>
      <w:r>
        <w:rPr>
          <w:rFonts w:hint="eastAsia" w:ascii="仿宋" w:hAnsi="仿宋" w:eastAsia="仿宋" w:cs="仿宋_GB2312"/>
          <w:sz w:val="32"/>
          <w:szCs w:val="32"/>
        </w:rPr>
        <w:t>年度一般公共预算拨款基本支出</w:t>
      </w:r>
      <w:r>
        <w:rPr>
          <w:rFonts w:hint="eastAsia" w:ascii="仿宋" w:hAnsi="仿宋" w:eastAsia="仿宋" w:cs="仿宋_GB2312"/>
          <w:sz w:val="32"/>
          <w:szCs w:val="32"/>
          <w:lang w:val="en-US" w:eastAsia="zh-CN"/>
        </w:rPr>
        <w:t>42.14</w:t>
      </w:r>
      <w:r>
        <w:rPr>
          <w:rFonts w:hint="eastAsia" w:ascii="仿宋" w:hAnsi="仿宋" w:eastAsia="仿宋" w:cs="仿宋_GB2312"/>
          <w:sz w:val="32"/>
          <w:szCs w:val="32"/>
        </w:rPr>
        <w:t>万元，其中：</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（一）人员经费</w:t>
      </w:r>
      <w:r>
        <w:rPr>
          <w:rFonts w:hint="eastAsia" w:ascii="仿宋" w:hAnsi="仿宋" w:eastAsia="仿宋" w:cs="仿宋_GB2312"/>
          <w:sz w:val="32"/>
          <w:szCs w:val="32"/>
          <w:lang w:val="en-US" w:eastAsia="zh-CN"/>
        </w:rPr>
        <w:t>36.44</w:t>
      </w:r>
      <w:r>
        <w:rPr>
          <w:rFonts w:hint="eastAsia" w:ascii="仿宋" w:hAnsi="仿宋" w:eastAsia="仿宋" w:cs="仿宋_GB2312"/>
          <w:sz w:val="32"/>
          <w:szCs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支出。</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（二）公用经费</w:t>
      </w:r>
      <w:r>
        <w:rPr>
          <w:rFonts w:hint="eastAsia" w:ascii="仿宋" w:hAnsi="仿宋" w:eastAsia="仿宋" w:cs="仿宋_GB2312"/>
          <w:sz w:val="32"/>
          <w:szCs w:val="32"/>
          <w:lang w:val="en-US" w:eastAsia="zh-CN"/>
        </w:rPr>
        <w:t>1.86</w:t>
      </w:r>
      <w:r>
        <w:rPr>
          <w:rFonts w:hint="eastAsia" w:ascii="仿宋" w:hAnsi="仿宋" w:eastAsia="仿宋" w:cs="仿宋_GB2312"/>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tabs>
          <w:tab w:val="left" w:pos="7513"/>
        </w:tabs>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六、一般公共预算“三公”经费支出情况</w:t>
      </w:r>
    </w:p>
    <w:p>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b/>
          <w:sz w:val="32"/>
          <w:szCs w:val="32"/>
        </w:rPr>
        <w:t>（一）</w:t>
      </w:r>
      <w:r>
        <w:rPr>
          <w:rFonts w:hint="eastAsia" w:ascii="楷体" w:hAnsi="楷体" w:eastAsia="楷体" w:cs="宋体"/>
          <w:b/>
          <w:bCs/>
          <w:kern w:val="0"/>
          <w:sz w:val="32"/>
          <w:szCs w:val="32"/>
        </w:rPr>
        <w:t>因公出国（境）经费</w:t>
      </w:r>
    </w:p>
    <w:p>
      <w:pPr>
        <w:widowControl/>
        <w:adjustRightInd w:val="0"/>
        <w:snapToGrid w:val="0"/>
        <w:spacing w:line="600" w:lineRule="exact"/>
        <w:ind w:firstLine="660"/>
        <w:rPr>
          <w:rFonts w:ascii="仿宋" w:hAnsi="仿宋" w:eastAsia="仿宋" w:cs="仿宋_GB2312"/>
          <w:sz w:val="32"/>
          <w:szCs w:val="32"/>
        </w:rPr>
      </w:pPr>
      <w:r>
        <w:rPr>
          <w:rFonts w:hint="eastAsia" w:ascii="仿宋" w:hAnsi="仿宋" w:eastAsia="仿宋" w:cs="仿宋_GB2312"/>
          <w:kern w:val="0"/>
          <w:sz w:val="32"/>
          <w:szCs w:val="32"/>
          <w:lang w:val="en-US" w:eastAsia="zh-CN"/>
        </w:rPr>
        <w:t>2025</w:t>
      </w:r>
      <w:r>
        <w:rPr>
          <w:rFonts w:hint="eastAsia" w:ascii="仿宋" w:hAnsi="仿宋" w:eastAsia="仿宋" w:cs="宋体"/>
          <w:kern w:val="0"/>
          <w:sz w:val="32"/>
          <w:szCs w:val="32"/>
        </w:rPr>
        <w:t>年预算安排</w:t>
      </w:r>
      <w:r>
        <w:rPr>
          <w:rFonts w:hint="eastAsia" w:ascii="仿宋" w:hAnsi="仿宋" w:eastAsia="仿宋" w:cs="仿宋_GB2312"/>
          <w:kern w:val="0"/>
          <w:sz w:val="32"/>
          <w:szCs w:val="32"/>
          <w:lang w:val="en-US" w:eastAsia="zh-CN"/>
        </w:rPr>
        <w:t>0</w:t>
      </w:r>
      <w:r>
        <w:rPr>
          <w:rFonts w:hint="eastAsia" w:ascii="仿宋" w:hAnsi="仿宋" w:eastAsia="仿宋" w:cs="宋体"/>
          <w:kern w:val="0"/>
          <w:sz w:val="32"/>
          <w:szCs w:val="32"/>
        </w:rPr>
        <w:t>万元，</w:t>
      </w:r>
      <w:r>
        <w:rPr>
          <w:rFonts w:hint="eastAsia" w:ascii="仿宋" w:hAnsi="仿宋" w:eastAsia="仿宋" w:cs="仿宋_GB2312"/>
          <w:sz w:val="32"/>
          <w:szCs w:val="32"/>
        </w:rPr>
        <w:t>比上年减少（增加）</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万元，</w:t>
      </w:r>
      <w:r>
        <w:rPr>
          <w:rFonts w:hint="eastAsia" w:ascii="仿宋" w:hAnsi="仿宋" w:eastAsia="仿宋" w:cs="仿宋_GB2312"/>
          <w:sz w:val="32"/>
          <w:szCs w:val="32"/>
        </w:rPr>
        <w:t>降低（增长）</w:t>
      </w:r>
      <w:r>
        <w:rPr>
          <w:rFonts w:hint="eastAsia" w:ascii="仿宋" w:hAnsi="仿宋" w:eastAsia="仿宋" w:cs="仿宋_GB2312"/>
          <w:sz w:val="32"/>
          <w:szCs w:val="32"/>
          <w:lang w:val="en-US" w:eastAsia="zh-CN"/>
        </w:rPr>
        <w:t>0</w:t>
      </w:r>
      <w:r>
        <w:rPr>
          <w:rFonts w:ascii="仿宋" w:hAnsi="仿宋" w:eastAsia="仿宋" w:cs="仿宋_GB2312"/>
          <w:sz w:val="32"/>
          <w:szCs w:val="32"/>
        </w:rPr>
        <w:t>%</w:t>
      </w:r>
      <w:r>
        <w:rPr>
          <w:rFonts w:hint="eastAsia" w:ascii="仿宋" w:hAnsi="仿宋" w:eastAsia="仿宋" w:cs="仿宋_GB2312"/>
          <w:sz w:val="32"/>
          <w:szCs w:val="32"/>
        </w:rPr>
        <w:t>。</w:t>
      </w:r>
      <w:r>
        <w:rPr>
          <w:rFonts w:hint="eastAsia" w:ascii="仿宋" w:hAnsi="仿宋" w:eastAsia="仿宋" w:cs="宋体"/>
          <w:kern w:val="0"/>
          <w:sz w:val="32"/>
          <w:szCs w:val="32"/>
        </w:rPr>
        <w:t>与上年持平</w:t>
      </w:r>
      <w:r>
        <w:rPr>
          <w:rFonts w:hint="eastAsia" w:ascii="仿宋" w:hAnsi="仿宋" w:eastAsia="仿宋" w:cs="仿宋_GB2312"/>
          <w:sz w:val="32"/>
          <w:szCs w:val="32"/>
        </w:rPr>
        <w:t>。</w:t>
      </w:r>
    </w:p>
    <w:p>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b/>
          <w:sz w:val="32"/>
          <w:szCs w:val="32"/>
        </w:rPr>
        <w:t>（二）</w:t>
      </w:r>
      <w:r>
        <w:rPr>
          <w:rFonts w:hint="eastAsia" w:ascii="楷体" w:hAnsi="楷体" w:eastAsia="楷体" w:cs="宋体"/>
          <w:b/>
          <w:bCs/>
          <w:kern w:val="0"/>
          <w:sz w:val="32"/>
          <w:szCs w:val="32"/>
        </w:rPr>
        <w:t>公务接待费</w:t>
      </w:r>
    </w:p>
    <w:p>
      <w:pPr>
        <w:widowControl/>
        <w:adjustRightInd w:val="0"/>
        <w:snapToGrid w:val="0"/>
        <w:spacing w:line="600" w:lineRule="exact"/>
        <w:ind w:firstLine="660"/>
        <w:rPr>
          <w:rFonts w:ascii="仿宋" w:hAnsi="仿宋" w:eastAsia="仿宋" w:cs="仿宋_GB2312"/>
          <w:sz w:val="32"/>
          <w:szCs w:val="32"/>
        </w:rPr>
      </w:pPr>
      <w:r>
        <w:rPr>
          <w:rFonts w:hint="eastAsia" w:ascii="仿宋" w:hAnsi="仿宋" w:eastAsia="仿宋" w:cs="仿宋_GB2312"/>
          <w:kern w:val="0"/>
          <w:sz w:val="32"/>
          <w:szCs w:val="32"/>
          <w:lang w:val="en-US" w:eastAsia="zh-CN"/>
        </w:rPr>
        <w:t>2025</w:t>
      </w:r>
      <w:r>
        <w:rPr>
          <w:rFonts w:hint="eastAsia" w:ascii="仿宋" w:hAnsi="仿宋" w:eastAsia="仿宋" w:cs="宋体"/>
          <w:kern w:val="0"/>
          <w:sz w:val="32"/>
          <w:szCs w:val="32"/>
        </w:rPr>
        <w:t>年预算安排</w:t>
      </w:r>
      <w:r>
        <w:rPr>
          <w:rFonts w:hint="eastAsia" w:ascii="仿宋" w:hAnsi="仿宋" w:eastAsia="仿宋" w:cs="仿宋_GB2312"/>
          <w:kern w:val="0"/>
          <w:sz w:val="32"/>
          <w:szCs w:val="32"/>
          <w:lang w:val="en-US" w:eastAsia="zh-CN"/>
        </w:rPr>
        <w:t>0</w:t>
      </w:r>
      <w:r>
        <w:rPr>
          <w:rFonts w:hint="eastAsia" w:ascii="仿宋" w:hAnsi="仿宋" w:eastAsia="仿宋" w:cs="宋体"/>
          <w:kern w:val="0"/>
          <w:sz w:val="32"/>
          <w:szCs w:val="32"/>
        </w:rPr>
        <w:t>万元，</w:t>
      </w:r>
      <w:r>
        <w:rPr>
          <w:rFonts w:hint="eastAsia" w:ascii="仿宋" w:hAnsi="仿宋" w:eastAsia="仿宋" w:cs="仿宋_GB2312"/>
          <w:sz w:val="32"/>
          <w:szCs w:val="32"/>
        </w:rPr>
        <w:t>比上年减少（增加）</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万元，</w:t>
      </w:r>
      <w:r>
        <w:rPr>
          <w:rFonts w:hint="eastAsia" w:ascii="仿宋" w:hAnsi="仿宋" w:eastAsia="仿宋" w:cs="仿宋_GB2312"/>
          <w:sz w:val="32"/>
          <w:szCs w:val="32"/>
        </w:rPr>
        <w:t>降低（增长）</w:t>
      </w:r>
      <w:r>
        <w:rPr>
          <w:rFonts w:hint="eastAsia" w:ascii="仿宋" w:hAnsi="仿宋" w:eastAsia="仿宋" w:cs="仿宋_GB2312"/>
          <w:sz w:val="32"/>
          <w:szCs w:val="32"/>
          <w:lang w:val="en-US" w:eastAsia="zh-CN"/>
        </w:rPr>
        <w:t>0</w:t>
      </w:r>
      <w:r>
        <w:rPr>
          <w:rFonts w:ascii="仿宋" w:hAnsi="仿宋" w:eastAsia="仿宋" w:cs="仿宋_GB2312"/>
          <w:sz w:val="32"/>
          <w:szCs w:val="32"/>
        </w:rPr>
        <w:t>%</w:t>
      </w:r>
      <w:r>
        <w:rPr>
          <w:rFonts w:hint="eastAsia" w:ascii="仿宋" w:hAnsi="仿宋" w:eastAsia="仿宋" w:cs="仿宋_GB2312"/>
          <w:sz w:val="32"/>
          <w:szCs w:val="32"/>
        </w:rPr>
        <w:t>。</w:t>
      </w:r>
      <w:r>
        <w:rPr>
          <w:rFonts w:hint="eastAsia" w:ascii="仿宋" w:hAnsi="仿宋" w:eastAsia="仿宋" w:cs="宋体"/>
          <w:kern w:val="0"/>
          <w:sz w:val="32"/>
          <w:szCs w:val="32"/>
        </w:rPr>
        <w:t>与上年持平</w:t>
      </w:r>
      <w:r>
        <w:rPr>
          <w:rFonts w:hint="eastAsia" w:ascii="仿宋" w:hAnsi="仿宋" w:eastAsia="仿宋" w:cs="仿宋_GB2312"/>
          <w:sz w:val="32"/>
          <w:szCs w:val="32"/>
        </w:rPr>
        <w:t>。</w:t>
      </w:r>
    </w:p>
    <w:p>
      <w:pPr>
        <w:adjustRightInd w:val="0"/>
        <w:snapToGrid w:val="0"/>
        <w:spacing w:line="600" w:lineRule="exact"/>
        <w:ind w:firstLine="642" w:firstLineChars="200"/>
        <w:rPr>
          <w:rFonts w:ascii="楷体" w:hAnsi="楷体" w:eastAsia="楷体" w:cs="宋体"/>
          <w:b/>
          <w:bCs/>
          <w:kern w:val="0"/>
          <w:sz w:val="32"/>
          <w:szCs w:val="32"/>
        </w:rPr>
      </w:pPr>
      <w:r>
        <w:rPr>
          <w:rFonts w:hint="eastAsia" w:ascii="楷体" w:hAnsi="楷体" w:eastAsia="楷体"/>
          <w:b/>
          <w:sz w:val="32"/>
          <w:szCs w:val="32"/>
        </w:rPr>
        <w:t>（三）</w:t>
      </w:r>
      <w:r>
        <w:rPr>
          <w:rFonts w:hint="eastAsia" w:ascii="楷体" w:hAnsi="楷体" w:eastAsia="楷体" w:cs="宋体"/>
          <w:b/>
          <w:bCs/>
          <w:kern w:val="0"/>
          <w:sz w:val="32"/>
          <w:szCs w:val="32"/>
        </w:rPr>
        <w:t>公务用车购置及运行费</w:t>
      </w:r>
    </w:p>
    <w:p>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宋体"/>
          <w:kern w:val="0"/>
          <w:sz w:val="32"/>
          <w:szCs w:val="32"/>
        </w:rPr>
        <w:t xml:space="preserve"> </w:t>
      </w:r>
      <w:r>
        <w:rPr>
          <w:rFonts w:hint="eastAsia" w:ascii="仿宋" w:hAnsi="仿宋" w:eastAsia="仿宋" w:cs="仿宋_GB2312"/>
          <w:kern w:val="0"/>
          <w:sz w:val="32"/>
          <w:szCs w:val="32"/>
          <w:lang w:val="en-US" w:eastAsia="zh-CN"/>
        </w:rPr>
        <w:t>2025</w:t>
      </w:r>
      <w:r>
        <w:rPr>
          <w:rFonts w:hint="eastAsia" w:ascii="仿宋" w:hAnsi="仿宋" w:eastAsia="仿宋" w:cs="宋体"/>
          <w:kern w:val="0"/>
          <w:sz w:val="32"/>
          <w:szCs w:val="32"/>
        </w:rPr>
        <w:t>年预算安排</w:t>
      </w:r>
      <w:r>
        <w:rPr>
          <w:rFonts w:hint="eastAsia" w:ascii="仿宋" w:hAnsi="仿宋" w:eastAsia="仿宋" w:cs="仿宋_GB2312"/>
          <w:kern w:val="0"/>
          <w:sz w:val="32"/>
          <w:szCs w:val="32"/>
          <w:lang w:val="en-US" w:eastAsia="zh-CN"/>
        </w:rPr>
        <w:t>0</w:t>
      </w:r>
      <w:r>
        <w:rPr>
          <w:rFonts w:hint="eastAsia" w:ascii="仿宋" w:hAnsi="仿宋" w:eastAsia="仿宋" w:cs="宋体"/>
          <w:kern w:val="0"/>
          <w:sz w:val="32"/>
          <w:szCs w:val="32"/>
        </w:rPr>
        <w:t>万元，其中：公务用车运行费</w:t>
      </w:r>
      <w:r>
        <w:rPr>
          <w:rFonts w:hint="eastAsia" w:ascii="仿宋" w:hAnsi="仿宋" w:eastAsia="仿宋" w:cs="仿宋_GB2312"/>
          <w:kern w:val="0"/>
          <w:sz w:val="32"/>
          <w:szCs w:val="32"/>
          <w:lang w:val="en-US" w:eastAsia="zh-CN"/>
        </w:rPr>
        <w:t>0</w:t>
      </w:r>
      <w:r>
        <w:rPr>
          <w:rFonts w:hint="eastAsia" w:ascii="仿宋" w:hAnsi="仿宋" w:eastAsia="仿宋" w:cs="宋体"/>
          <w:kern w:val="0"/>
          <w:sz w:val="32"/>
          <w:szCs w:val="32"/>
        </w:rPr>
        <w:t>万元，</w:t>
      </w:r>
      <w:r>
        <w:rPr>
          <w:rFonts w:hint="eastAsia" w:ascii="仿宋" w:hAnsi="仿宋" w:eastAsia="仿宋" w:cs="仿宋_GB2312"/>
          <w:sz w:val="32"/>
          <w:szCs w:val="32"/>
        </w:rPr>
        <w:t>比上年减少（增加）</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万元，</w:t>
      </w:r>
      <w:r>
        <w:rPr>
          <w:rFonts w:hint="eastAsia" w:ascii="仿宋" w:hAnsi="仿宋" w:eastAsia="仿宋" w:cs="仿宋_GB2312"/>
          <w:sz w:val="32"/>
          <w:szCs w:val="32"/>
        </w:rPr>
        <w:t>降低（增长）</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w:t>
      </w:r>
      <w:r>
        <w:rPr>
          <w:rFonts w:hint="eastAsia" w:ascii="仿宋" w:hAnsi="仿宋" w:eastAsia="仿宋" w:cs="宋体"/>
          <w:kern w:val="0"/>
          <w:sz w:val="32"/>
          <w:szCs w:val="32"/>
        </w:rPr>
        <w:t>公务用车购置费</w:t>
      </w:r>
      <w:r>
        <w:rPr>
          <w:rFonts w:hint="eastAsia" w:ascii="仿宋" w:hAnsi="仿宋" w:eastAsia="仿宋" w:cs="仿宋_GB2312"/>
          <w:kern w:val="0"/>
          <w:sz w:val="32"/>
          <w:szCs w:val="32"/>
          <w:lang w:val="en-US" w:eastAsia="zh-CN"/>
        </w:rPr>
        <w:t>0</w:t>
      </w:r>
      <w:r>
        <w:rPr>
          <w:rFonts w:hint="eastAsia" w:ascii="仿宋" w:hAnsi="仿宋" w:eastAsia="仿宋" w:cs="宋体"/>
          <w:kern w:val="0"/>
          <w:sz w:val="32"/>
          <w:szCs w:val="32"/>
        </w:rPr>
        <w:t>万元，</w:t>
      </w:r>
      <w:r>
        <w:rPr>
          <w:rFonts w:hint="eastAsia" w:ascii="仿宋" w:hAnsi="仿宋" w:eastAsia="仿宋" w:cs="仿宋_GB2312"/>
          <w:sz w:val="32"/>
          <w:szCs w:val="32"/>
        </w:rPr>
        <w:t>比上年减少（增加）</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万元，</w:t>
      </w:r>
      <w:r>
        <w:rPr>
          <w:rFonts w:hint="eastAsia" w:ascii="仿宋" w:hAnsi="仿宋" w:eastAsia="仿宋" w:cs="仿宋_GB2312"/>
          <w:sz w:val="32"/>
          <w:szCs w:val="32"/>
        </w:rPr>
        <w:t>降低（增长）</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w:t>
      </w:r>
      <w:r>
        <w:rPr>
          <w:rFonts w:hint="eastAsia" w:ascii="仿宋" w:hAnsi="仿宋" w:eastAsia="仿宋" w:cs="宋体"/>
          <w:kern w:val="0"/>
          <w:sz w:val="32"/>
          <w:szCs w:val="32"/>
        </w:rPr>
        <w:t>与上年持平</w:t>
      </w:r>
      <w:r>
        <w:rPr>
          <w:rFonts w:hint="eastAsia" w:ascii="仿宋" w:hAnsi="仿宋" w:eastAsia="仿宋" w:cs="仿宋_GB2312"/>
          <w:sz w:val="32"/>
          <w:szCs w:val="32"/>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七、预算绩效目标情况</w:t>
      </w:r>
    </w:p>
    <w:p>
      <w:pPr>
        <w:spacing w:line="590" w:lineRule="exact"/>
        <w:ind w:firstLine="629" w:firstLineChars="196"/>
        <w:rPr>
          <w:rFonts w:ascii="仿宋" w:hAnsi="仿宋" w:eastAsia="仿宋" w:cs="仿宋_GB2312"/>
          <w:kern w:val="0"/>
          <w:sz w:val="32"/>
          <w:szCs w:val="32"/>
        </w:rPr>
      </w:pPr>
      <w:r>
        <w:rPr>
          <w:rFonts w:hint="eastAsia" w:ascii="楷体" w:hAnsi="楷体" w:eastAsia="楷体"/>
          <w:b/>
          <w:sz w:val="32"/>
          <w:szCs w:val="32"/>
        </w:rPr>
        <w:t>（一）绩效目标设置情况</w:t>
      </w:r>
    </w:p>
    <w:p>
      <w:pPr>
        <w:spacing w:line="590" w:lineRule="exact"/>
        <w:ind w:firstLine="627" w:firstLineChars="196"/>
        <w:rPr>
          <w:rFonts w:hint="eastAsia" w:ascii="仿宋" w:hAnsi="仿宋" w:eastAsia="仿宋" w:cs="仿宋_GB2312"/>
          <w:kern w:val="0"/>
          <w:sz w:val="32"/>
          <w:szCs w:val="32"/>
          <w:lang w:eastAsia="zh-CN"/>
        </w:rPr>
      </w:pPr>
      <w:r>
        <w:rPr>
          <w:rFonts w:hint="eastAsia" w:ascii="仿宋" w:hAnsi="仿宋" w:eastAsia="仿宋" w:cs="仿宋_GB2312"/>
          <w:kern w:val="0"/>
          <w:sz w:val="32"/>
          <w:szCs w:val="32"/>
          <w:lang w:val="en-US" w:eastAsia="zh-CN"/>
        </w:rPr>
        <w:t>2025</w:t>
      </w:r>
      <w:r>
        <w:rPr>
          <w:rFonts w:hint="eastAsia" w:ascii="仿宋" w:hAnsi="仿宋" w:eastAsia="仿宋" w:cs="仿宋_GB2312"/>
          <w:kern w:val="0"/>
          <w:sz w:val="32"/>
          <w:szCs w:val="32"/>
        </w:rPr>
        <w:t>年，</w:t>
      </w:r>
      <w:r>
        <w:rPr>
          <w:rFonts w:hint="eastAsia" w:ascii="仿宋" w:hAnsi="仿宋" w:eastAsia="仿宋"/>
          <w:sz w:val="32"/>
          <w:szCs w:val="32"/>
          <w:lang w:eastAsia="zh-CN"/>
        </w:rPr>
        <w:t>漳平市殡葬服务所</w:t>
      </w:r>
      <w:r>
        <w:rPr>
          <w:rFonts w:hint="eastAsia" w:ascii="仿宋" w:hAnsi="仿宋" w:eastAsia="仿宋" w:cs="仿宋_GB2312"/>
          <w:kern w:val="0"/>
          <w:sz w:val="32"/>
          <w:szCs w:val="32"/>
        </w:rPr>
        <w:t>共设置</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个项目绩效目标</w:t>
      </w:r>
      <w:r>
        <w:rPr>
          <w:rFonts w:hint="eastAsia" w:ascii="仿宋" w:hAnsi="仿宋" w:eastAsia="仿宋" w:cs="仿宋_GB2312"/>
          <w:kern w:val="0"/>
          <w:sz w:val="32"/>
          <w:szCs w:val="32"/>
          <w:lang w:eastAsia="zh-CN"/>
        </w:rPr>
        <w:t>。</w:t>
      </w:r>
    </w:p>
    <w:p>
      <w:pPr>
        <w:spacing w:line="590" w:lineRule="exact"/>
        <w:ind w:firstLine="629" w:firstLineChars="196"/>
        <w:rPr>
          <w:rFonts w:ascii="楷体" w:hAnsi="楷体" w:eastAsia="楷体"/>
          <w:b/>
          <w:sz w:val="32"/>
          <w:szCs w:val="32"/>
        </w:rPr>
      </w:pPr>
      <w:r>
        <w:rPr>
          <w:rFonts w:hint="eastAsia" w:ascii="楷体" w:hAnsi="楷体" w:eastAsia="楷体"/>
          <w:b/>
          <w:sz w:val="32"/>
          <w:szCs w:val="32"/>
        </w:rPr>
        <w:t>（二）绩效目标表及说明</w:t>
      </w:r>
    </w:p>
    <w:p>
      <w:pPr>
        <w:spacing w:line="590" w:lineRule="exact"/>
        <w:ind w:firstLine="642" w:firstLineChars="200"/>
        <w:rPr>
          <w:rFonts w:hint="eastAsia" w:ascii="仿宋" w:hAnsi="仿宋" w:eastAsia="仿宋"/>
          <w:b/>
          <w:sz w:val="32"/>
          <w:szCs w:val="32"/>
        </w:rPr>
      </w:pPr>
      <w:r>
        <w:rPr>
          <w:rFonts w:ascii="仿宋" w:hAnsi="仿宋" w:eastAsia="仿宋"/>
          <w:b/>
          <w:sz w:val="32"/>
          <w:szCs w:val="32"/>
        </w:rPr>
        <w:t>1.项目支出绩效目标表</w:t>
      </w:r>
    </w:p>
    <w:p>
      <w:pPr>
        <w:spacing w:line="590" w:lineRule="exact"/>
        <w:ind w:firstLine="640" w:firstLineChars="200"/>
        <w:rPr>
          <w:rFonts w:ascii="楷体" w:hAnsi="楷体" w:eastAsia="楷体" w:cs="楷体"/>
          <w:kern w:val="0"/>
          <w:sz w:val="32"/>
          <w:szCs w:val="32"/>
        </w:rPr>
      </w:pPr>
      <w:r>
        <w:rPr>
          <w:rFonts w:hint="eastAsia" w:ascii="楷体" w:hAnsi="楷体" w:eastAsia="楷体" w:cs="楷体"/>
          <w:kern w:val="0"/>
          <w:sz w:val="32"/>
          <w:szCs w:val="32"/>
        </w:rPr>
        <w:t>本</w:t>
      </w:r>
      <w:r>
        <w:rPr>
          <w:rFonts w:hint="eastAsia" w:ascii="楷体" w:hAnsi="楷体" w:eastAsia="楷体" w:cs="楷体"/>
          <w:kern w:val="0"/>
          <w:sz w:val="32"/>
          <w:szCs w:val="32"/>
          <w:lang w:eastAsia="zh-CN"/>
        </w:rPr>
        <w:t>单位</w:t>
      </w:r>
      <w:r>
        <w:rPr>
          <w:rFonts w:hint="eastAsia" w:ascii="楷体" w:hAnsi="楷体" w:eastAsia="楷体" w:cs="楷体"/>
          <w:kern w:val="0"/>
          <w:sz w:val="32"/>
          <w:szCs w:val="32"/>
        </w:rPr>
        <w:t>无项目支出绩效目标表。</w:t>
      </w:r>
    </w:p>
    <w:p>
      <w:pPr>
        <w:spacing w:line="590" w:lineRule="exact"/>
        <w:ind w:firstLine="642" w:firstLineChars="200"/>
        <w:rPr>
          <w:rFonts w:ascii="仿宋" w:hAnsi="仿宋" w:eastAsia="仿宋"/>
          <w:b/>
          <w:sz w:val="32"/>
          <w:szCs w:val="32"/>
        </w:rPr>
      </w:pPr>
      <w:r>
        <w:rPr>
          <w:rFonts w:hint="eastAsia" w:ascii="仿宋" w:hAnsi="仿宋" w:eastAsia="仿宋"/>
          <w:b/>
          <w:sz w:val="32"/>
          <w:szCs w:val="32"/>
        </w:rPr>
        <w:t>3</w:t>
      </w:r>
      <w:r>
        <w:rPr>
          <w:rFonts w:ascii="仿宋" w:hAnsi="仿宋" w:eastAsia="仿宋"/>
          <w:b/>
          <w:sz w:val="32"/>
          <w:szCs w:val="32"/>
        </w:rPr>
        <w:t>.有关情况说明</w:t>
      </w:r>
    </w:p>
    <w:p>
      <w:pPr>
        <w:spacing w:line="590" w:lineRule="exact"/>
        <w:ind w:firstLine="640" w:firstLineChars="200"/>
        <w:rPr>
          <w:rFonts w:ascii="楷体" w:hAnsi="楷体" w:eastAsia="楷体" w:cs="楷体"/>
          <w:kern w:val="0"/>
          <w:sz w:val="32"/>
          <w:szCs w:val="32"/>
        </w:rPr>
      </w:pPr>
      <w:r>
        <w:rPr>
          <w:rFonts w:hint="eastAsia" w:ascii="楷体" w:hAnsi="楷体" w:eastAsia="楷体" w:cs="楷体"/>
          <w:kern w:val="0"/>
          <w:sz w:val="32"/>
          <w:szCs w:val="32"/>
        </w:rPr>
        <w:t>本</w:t>
      </w:r>
      <w:r>
        <w:rPr>
          <w:rFonts w:hint="eastAsia" w:ascii="楷体" w:hAnsi="楷体" w:eastAsia="楷体" w:cs="楷体"/>
          <w:kern w:val="0"/>
          <w:sz w:val="32"/>
          <w:szCs w:val="32"/>
          <w:lang w:eastAsia="zh-CN"/>
        </w:rPr>
        <w:t>单位</w:t>
      </w:r>
      <w:r>
        <w:rPr>
          <w:rFonts w:hint="eastAsia" w:ascii="楷体" w:hAnsi="楷体" w:eastAsia="楷体" w:cs="楷体"/>
          <w:kern w:val="0"/>
          <w:sz w:val="32"/>
          <w:szCs w:val="32"/>
        </w:rPr>
        <w:t>无其他需要说明的绩效目标情况。</w:t>
      </w:r>
    </w:p>
    <w:p>
      <w:pPr>
        <w:spacing w:line="600" w:lineRule="exact"/>
        <w:rPr>
          <w:rFonts w:ascii="黑体" w:hAnsi="黑体" w:eastAsia="黑体"/>
          <w:sz w:val="32"/>
          <w:szCs w:val="32"/>
        </w:rPr>
      </w:pPr>
      <w:r>
        <w:rPr>
          <w:rFonts w:hint="eastAsia" w:ascii="黑体" w:hAnsi="黑体" w:eastAsia="黑体"/>
          <w:sz w:val="32"/>
          <w:szCs w:val="32"/>
        </w:rPr>
        <w:t xml:space="preserve">    八、其他重要事项说明</w:t>
      </w:r>
    </w:p>
    <w:p>
      <w:pPr>
        <w:spacing w:line="600" w:lineRule="exact"/>
        <w:ind w:firstLine="642" w:firstLineChars="200"/>
        <w:rPr>
          <w:rFonts w:ascii="楷体" w:hAnsi="楷体" w:eastAsia="楷体"/>
          <w:b/>
          <w:sz w:val="32"/>
          <w:szCs w:val="32"/>
        </w:rPr>
      </w:pPr>
      <w:r>
        <w:rPr>
          <w:rFonts w:hint="eastAsia" w:ascii="楷体" w:hAnsi="楷体" w:eastAsia="楷体"/>
          <w:b/>
          <w:sz w:val="32"/>
          <w:szCs w:val="32"/>
        </w:rPr>
        <w:t>（一）机关运行经费</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本</w:t>
      </w:r>
      <w:r>
        <w:rPr>
          <w:rFonts w:hint="eastAsia" w:ascii="楷体" w:hAnsi="楷体" w:eastAsia="楷体"/>
          <w:sz w:val="32"/>
          <w:szCs w:val="32"/>
          <w:lang w:eastAsia="zh-CN"/>
        </w:rPr>
        <w:t>单位</w:t>
      </w:r>
      <w:r>
        <w:rPr>
          <w:rFonts w:hint="eastAsia" w:ascii="楷体" w:hAnsi="楷体" w:eastAsia="楷体" w:cs="仿宋_GB2312"/>
          <w:sz w:val="32"/>
          <w:szCs w:val="32"/>
          <w:lang w:val="en-US" w:eastAsia="zh-CN"/>
        </w:rPr>
        <w:t>2025</w:t>
      </w:r>
      <w:r>
        <w:rPr>
          <w:rFonts w:hint="eastAsia" w:ascii="楷体" w:hAnsi="楷体" w:eastAsia="楷体" w:cs="仿宋_GB2312"/>
          <w:sz w:val="32"/>
          <w:szCs w:val="32"/>
        </w:rPr>
        <w:t>年度</w:t>
      </w:r>
      <w:r>
        <w:rPr>
          <w:rFonts w:hint="eastAsia" w:ascii="楷体" w:hAnsi="楷体" w:eastAsia="楷体"/>
          <w:sz w:val="32"/>
          <w:szCs w:val="32"/>
        </w:rPr>
        <w:t>没有机关运行经费。</w:t>
      </w:r>
    </w:p>
    <w:p>
      <w:pPr>
        <w:spacing w:line="600" w:lineRule="exact"/>
        <w:ind w:firstLine="642" w:firstLineChars="200"/>
        <w:rPr>
          <w:rFonts w:ascii="楷体" w:hAnsi="楷体" w:eastAsia="楷体"/>
          <w:b/>
          <w:sz w:val="32"/>
          <w:szCs w:val="32"/>
        </w:rPr>
      </w:pPr>
      <w:r>
        <w:rPr>
          <w:rFonts w:hint="eastAsia" w:ascii="楷体" w:hAnsi="楷体" w:eastAsia="楷体"/>
          <w:b/>
          <w:sz w:val="32"/>
          <w:szCs w:val="32"/>
        </w:rPr>
        <w:t>（二）政府采购情况</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本</w:t>
      </w:r>
      <w:r>
        <w:rPr>
          <w:rFonts w:hint="eastAsia" w:ascii="楷体" w:hAnsi="楷体" w:eastAsia="楷体"/>
          <w:sz w:val="32"/>
          <w:szCs w:val="32"/>
          <w:lang w:eastAsia="zh-CN"/>
        </w:rPr>
        <w:t>单位</w:t>
      </w:r>
      <w:r>
        <w:rPr>
          <w:rFonts w:hint="eastAsia" w:ascii="楷体" w:hAnsi="楷体" w:eastAsia="楷体" w:cs="仿宋_GB2312"/>
          <w:sz w:val="32"/>
          <w:szCs w:val="32"/>
          <w:lang w:val="en-US" w:eastAsia="zh-CN"/>
        </w:rPr>
        <w:t>2025</w:t>
      </w:r>
      <w:r>
        <w:rPr>
          <w:rFonts w:hint="eastAsia" w:ascii="楷体" w:hAnsi="楷体" w:eastAsia="楷体" w:cs="仿宋_GB2312"/>
          <w:sz w:val="32"/>
          <w:szCs w:val="32"/>
        </w:rPr>
        <w:t>年度</w:t>
      </w:r>
      <w:r>
        <w:rPr>
          <w:rFonts w:hint="eastAsia" w:ascii="楷体" w:hAnsi="楷体" w:eastAsia="楷体"/>
          <w:sz w:val="32"/>
          <w:szCs w:val="32"/>
        </w:rPr>
        <w:t>没有政府采购预算。</w:t>
      </w:r>
    </w:p>
    <w:p>
      <w:pPr>
        <w:spacing w:line="600" w:lineRule="exact"/>
        <w:ind w:firstLine="642" w:firstLineChars="200"/>
        <w:rPr>
          <w:rFonts w:ascii="楷体" w:hAnsi="楷体" w:eastAsia="楷体"/>
          <w:b/>
          <w:sz w:val="32"/>
          <w:szCs w:val="32"/>
        </w:rPr>
      </w:pPr>
      <w:r>
        <w:rPr>
          <w:rFonts w:hint="eastAsia" w:ascii="楷体" w:hAnsi="楷体" w:eastAsia="楷体"/>
          <w:b/>
          <w:sz w:val="32"/>
          <w:szCs w:val="32"/>
        </w:rPr>
        <w:t>（三）国有资产占用使用情况</w:t>
      </w:r>
    </w:p>
    <w:p>
      <w:pPr>
        <w:spacing w:line="600" w:lineRule="exact"/>
        <w:ind w:firstLine="640" w:firstLineChars="200"/>
        <w:rPr>
          <w:rFonts w:ascii="仿宋" w:hAnsi="仿宋" w:eastAsia="仿宋" w:cs="仿宋_GB2312"/>
          <w:kern w:val="0"/>
          <w:sz w:val="32"/>
          <w:szCs w:val="32"/>
        </w:rPr>
      </w:pPr>
      <w:r>
        <w:rPr>
          <w:rFonts w:hint="eastAsia" w:ascii="仿宋" w:hAnsi="仿宋" w:eastAsia="仿宋"/>
          <w:sz w:val="32"/>
          <w:szCs w:val="32"/>
        </w:rPr>
        <w:t>截至</w:t>
      </w:r>
      <w:r>
        <w:rPr>
          <w:rFonts w:hint="eastAsia" w:ascii="仿宋" w:hAnsi="仿宋" w:eastAsia="仿宋" w:cs="仿宋_GB2312"/>
          <w:kern w:val="0"/>
          <w:sz w:val="32"/>
          <w:szCs w:val="32"/>
          <w:lang w:val="en-US" w:eastAsia="zh-CN"/>
        </w:rPr>
        <w:t>2024</w:t>
      </w:r>
      <w:r>
        <w:rPr>
          <w:rFonts w:hint="eastAsia" w:ascii="仿宋" w:hAnsi="仿宋" w:eastAsia="仿宋" w:cs="仿宋_GB2312"/>
          <w:kern w:val="0"/>
          <w:sz w:val="32"/>
          <w:szCs w:val="32"/>
        </w:rPr>
        <w:t>年12月31日，</w:t>
      </w:r>
      <w:r>
        <w:rPr>
          <w:rFonts w:hint="eastAsia" w:ascii="仿宋" w:hAnsi="仿宋" w:eastAsia="仿宋" w:cs="仿宋_GB2312"/>
          <w:kern w:val="0"/>
          <w:sz w:val="32"/>
          <w:szCs w:val="32"/>
          <w:lang w:eastAsia="zh-CN"/>
        </w:rPr>
        <w:t>漳</w:t>
      </w:r>
      <w:r>
        <w:rPr>
          <w:rFonts w:hint="eastAsia" w:ascii="仿宋" w:hAnsi="仿宋" w:eastAsia="仿宋" w:cs="仿宋_GB2312"/>
          <w:kern w:val="0"/>
          <w:sz w:val="32"/>
          <w:szCs w:val="32"/>
          <w:lang w:val="en-US" w:eastAsia="zh-CN"/>
        </w:rPr>
        <w:t>平市殡葬服务所</w:t>
      </w:r>
      <w:r>
        <w:rPr>
          <w:rFonts w:hint="eastAsia" w:ascii="仿宋" w:hAnsi="仿宋" w:eastAsia="仿宋"/>
          <w:sz w:val="32"/>
          <w:szCs w:val="32"/>
        </w:rPr>
        <w:t>共有车辆</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辆，其中：副部（省）级以上领导用车</w:t>
      </w:r>
      <w:r>
        <w:rPr>
          <w:rFonts w:hint="eastAsia" w:ascii="仿宋" w:hAnsi="仿宋" w:eastAsia="仿宋"/>
          <w:sz w:val="32"/>
          <w:szCs w:val="32"/>
          <w:lang w:val="en-US" w:eastAsia="zh-CN"/>
        </w:rPr>
        <w:t>0</w:t>
      </w:r>
      <w:r>
        <w:rPr>
          <w:rFonts w:hint="eastAsia" w:ascii="仿宋" w:hAnsi="仿宋" w:eastAsia="仿宋"/>
          <w:sz w:val="32"/>
          <w:szCs w:val="32"/>
        </w:rPr>
        <w:t>辆、主要领导干部用车</w:t>
      </w:r>
      <w:r>
        <w:rPr>
          <w:rFonts w:hint="eastAsia" w:ascii="仿宋" w:hAnsi="仿宋" w:eastAsia="仿宋"/>
          <w:sz w:val="32"/>
          <w:szCs w:val="32"/>
          <w:lang w:val="en-US" w:eastAsia="zh-CN"/>
        </w:rPr>
        <w:t>0</w:t>
      </w:r>
      <w:r>
        <w:rPr>
          <w:rFonts w:hint="eastAsia" w:ascii="仿宋" w:hAnsi="仿宋" w:eastAsia="仿宋"/>
          <w:sz w:val="32"/>
          <w:szCs w:val="32"/>
        </w:rPr>
        <w:t>辆、机要通信用车</w:t>
      </w:r>
      <w:r>
        <w:rPr>
          <w:rFonts w:hint="eastAsia" w:ascii="仿宋" w:hAnsi="仿宋" w:eastAsia="仿宋"/>
          <w:sz w:val="32"/>
          <w:szCs w:val="32"/>
          <w:lang w:val="en-US" w:eastAsia="zh-CN"/>
        </w:rPr>
        <w:t>0</w:t>
      </w:r>
      <w:r>
        <w:rPr>
          <w:rFonts w:hint="eastAsia" w:ascii="仿宋" w:hAnsi="仿宋" w:eastAsia="仿宋"/>
          <w:sz w:val="32"/>
          <w:szCs w:val="32"/>
        </w:rPr>
        <w:t>辆、应急保障用车</w:t>
      </w:r>
      <w:r>
        <w:rPr>
          <w:rFonts w:hint="eastAsia" w:ascii="仿宋" w:hAnsi="仿宋" w:eastAsia="仿宋"/>
          <w:sz w:val="32"/>
          <w:szCs w:val="32"/>
          <w:lang w:val="en-US" w:eastAsia="zh-CN"/>
        </w:rPr>
        <w:t>0</w:t>
      </w:r>
      <w:r>
        <w:rPr>
          <w:rFonts w:hint="eastAsia" w:ascii="仿宋" w:hAnsi="仿宋" w:eastAsia="仿宋"/>
          <w:sz w:val="32"/>
          <w:szCs w:val="32"/>
        </w:rPr>
        <w:t>辆、执法执勤用车</w:t>
      </w:r>
      <w:r>
        <w:rPr>
          <w:rFonts w:hint="eastAsia" w:ascii="仿宋" w:hAnsi="仿宋" w:eastAsia="仿宋"/>
          <w:sz w:val="32"/>
          <w:szCs w:val="32"/>
          <w:lang w:val="en-US" w:eastAsia="zh-CN"/>
        </w:rPr>
        <w:t>0</w:t>
      </w:r>
      <w:r>
        <w:rPr>
          <w:rFonts w:hint="eastAsia" w:ascii="仿宋" w:hAnsi="仿宋" w:eastAsia="仿宋"/>
          <w:sz w:val="32"/>
          <w:szCs w:val="32"/>
        </w:rPr>
        <w:t>辆、特种专业技术用车</w:t>
      </w:r>
      <w:r>
        <w:rPr>
          <w:rFonts w:hint="eastAsia" w:ascii="仿宋" w:hAnsi="仿宋" w:eastAsia="仿宋"/>
          <w:sz w:val="32"/>
          <w:szCs w:val="32"/>
          <w:lang w:val="en-US" w:eastAsia="zh-CN"/>
        </w:rPr>
        <w:t>0</w:t>
      </w:r>
      <w:r>
        <w:rPr>
          <w:rFonts w:hint="eastAsia" w:ascii="仿宋" w:hAnsi="仿宋" w:eastAsia="仿宋"/>
          <w:sz w:val="32"/>
          <w:szCs w:val="32"/>
        </w:rPr>
        <w:t>辆、离退休干部用车</w:t>
      </w:r>
      <w:r>
        <w:rPr>
          <w:rFonts w:hint="eastAsia" w:ascii="仿宋" w:hAnsi="仿宋" w:eastAsia="仿宋"/>
          <w:sz w:val="32"/>
          <w:szCs w:val="32"/>
          <w:lang w:val="en-US" w:eastAsia="zh-CN"/>
        </w:rPr>
        <w:t>0</w:t>
      </w:r>
      <w:r>
        <w:rPr>
          <w:rFonts w:hint="eastAsia" w:ascii="仿宋" w:hAnsi="仿宋" w:eastAsia="仿宋"/>
          <w:sz w:val="32"/>
          <w:szCs w:val="32"/>
        </w:rPr>
        <w:t>辆、其他用车</w:t>
      </w:r>
      <w:r>
        <w:rPr>
          <w:rFonts w:hint="eastAsia" w:ascii="仿宋" w:hAnsi="仿宋" w:eastAsia="仿宋"/>
          <w:sz w:val="32"/>
          <w:szCs w:val="32"/>
          <w:lang w:val="en-US" w:eastAsia="zh-CN"/>
        </w:rPr>
        <w:t>0</w:t>
      </w:r>
      <w:r>
        <w:rPr>
          <w:rFonts w:hint="eastAsia" w:ascii="仿宋" w:hAnsi="仿宋" w:eastAsia="仿宋"/>
          <w:sz w:val="32"/>
          <w:szCs w:val="32"/>
        </w:rPr>
        <w:t>辆。单位价值100万元（含）以上设备</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台（套）。</w:t>
      </w:r>
    </w:p>
    <w:p>
      <w:pPr>
        <w:ind w:firstLine="640" w:firstLineChars="200"/>
        <w:rPr>
          <w:rFonts w:ascii="仿宋" w:hAnsi="仿宋" w:eastAsia="仿宋" w:cs="楷体"/>
          <w:kern w:val="0"/>
          <w:sz w:val="32"/>
          <w:szCs w:val="32"/>
        </w:rPr>
      </w:pPr>
      <w:r>
        <w:rPr>
          <w:rFonts w:hint="eastAsia" w:ascii="楷体" w:hAnsi="楷体" w:eastAsia="楷体" w:cs="楷体"/>
          <w:kern w:val="0"/>
          <w:sz w:val="32"/>
          <w:szCs w:val="32"/>
          <w:lang w:val="en-US" w:eastAsia="zh-CN"/>
        </w:rPr>
        <w:t>2025</w:t>
      </w:r>
      <w:r>
        <w:rPr>
          <w:rFonts w:hint="eastAsia" w:ascii="仿宋" w:hAnsi="仿宋" w:eastAsia="仿宋" w:cs="楷体"/>
          <w:kern w:val="0"/>
          <w:sz w:val="32"/>
          <w:szCs w:val="32"/>
        </w:rPr>
        <w:t>年</w:t>
      </w:r>
      <w:r>
        <w:rPr>
          <w:rFonts w:hint="eastAsia" w:ascii="仿宋" w:hAnsi="仿宋" w:eastAsia="仿宋" w:cs="楷体"/>
          <w:kern w:val="0"/>
          <w:sz w:val="32"/>
          <w:szCs w:val="32"/>
          <w:lang w:eastAsia="zh-CN"/>
        </w:rPr>
        <w:t>单位</w:t>
      </w:r>
      <w:r>
        <w:rPr>
          <w:rFonts w:hint="eastAsia" w:ascii="仿宋" w:hAnsi="仿宋" w:eastAsia="仿宋" w:cs="楷体"/>
          <w:kern w:val="0"/>
          <w:sz w:val="32"/>
          <w:szCs w:val="32"/>
        </w:rPr>
        <w:t>预算安排购置车辆</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辆，其中：</w:t>
      </w:r>
      <w:r>
        <w:rPr>
          <w:rFonts w:hint="eastAsia" w:ascii="仿宋" w:hAnsi="仿宋" w:eastAsia="仿宋" w:cs="仿宋_GB2312"/>
          <w:kern w:val="0"/>
          <w:sz w:val="32"/>
          <w:szCs w:val="32"/>
        </w:rPr>
        <w:t>副部（省）级以上领导用车</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辆、主要领导干部用车</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辆、机要通信用车</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辆、应急保障用车</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辆、执法执勤用车</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辆、特种专业技术用车</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辆、离退休干部用车</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辆、其他用车</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辆。</w:t>
      </w:r>
      <w:r>
        <w:rPr>
          <w:rFonts w:hint="eastAsia" w:ascii="仿宋" w:hAnsi="仿宋" w:eastAsia="仿宋"/>
          <w:sz w:val="32"/>
          <w:szCs w:val="32"/>
        </w:rPr>
        <w:t>单位价值100万元（含）以上设备</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台（套）。</w:t>
      </w:r>
    </w:p>
    <w:p>
      <w:pPr>
        <w:ind w:firstLine="640" w:firstLineChars="200"/>
        <w:rPr>
          <w:rFonts w:ascii="仿宋" w:hAnsi="仿宋" w:eastAsia="仿宋" w:cs="仿宋_GB2312"/>
          <w:kern w:val="0"/>
          <w:sz w:val="32"/>
          <w:szCs w:val="32"/>
        </w:rPr>
      </w:pPr>
    </w:p>
    <w:p>
      <w:pPr>
        <w:jc w:val="center"/>
        <w:rPr>
          <w:rFonts w:asciiTheme="majorEastAsia" w:hAnsiTheme="majorEastAsia" w:eastAsiaTheme="majorEastAsia"/>
          <w:b/>
          <w:sz w:val="40"/>
        </w:rPr>
        <w:sectPr>
          <w:pgSz w:w="11906" w:h="16838"/>
          <w:pgMar w:top="1440" w:right="1800" w:bottom="1440" w:left="1800" w:header="851" w:footer="992" w:gutter="0"/>
          <w:cols w:space="425" w:num="1"/>
          <w:docGrid w:type="lines" w:linePitch="312" w:charSpace="0"/>
        </w:sect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left"/>
        <w:rPr>
          <w:rFonts w:ascii="黑体" w:hAnsi="黑体" w:eastAsia="黑体"/>
          <w:sz w:val="56"/>
        </w:rPr>
      </w:pPr>
      <w:r>
        <w:rPr>
          <w:rFonts w:hint="eastAsia" w:ascii="黑体" w:hAnsi="黑体" w:eastAsia="黑体"/>
          <w:sz w:val="56"/>
        </w:rPr>
        <w:t>第四部分</w:t>
      </w:r>
      <w:r>
        <w:rPr>
          <w:rFonts w:ascii="黑体" w:hAnsi="黑体" w:eastAsia="黑体"/>
          <w:sz w:val="56"/>
        </w:rPr>
        <w:t xml:space="preserve"> </w:t>
      </w:r>
    </w:p>
    <w:p>
      <w:pPr>
        <w:jc w:val="center"/>
        <w:rPr>
          <w:rFonts w:ascii="黑体" w:hAnsi="黑体" w:eastAsia="黑体"/>
          <w:sz w:val="56"/>
        </w:rPr>
      </w:pPr>
      <w:r>
        <w:rPr>
          <w:rFonts w:hint="eastAsia" w:ascii="黑体" w:hAnsi="黑体" w:eastAsia="黑体"/>
          <w:sz w:val="56"/>
        </w:rPr>
        <w:t>名词解释</w:t>
      </w:r>
    </w:p>
    <w:p>
      <w:pPr>
        <w:jc w:val="center"/>
        <w:rPr>
          <w:rFonts w:asciiTheme="majorEastAsia" w:hAnsiTheme="majorEastAsia" w:eastAsiaTheme="majorEastAsia"/>
          <w:b/>
          <w:sz w:val="40"/>
        </w:rPr>
      </w:pPr>
    </w:p>
    <w:p>
      <w:pPr>
        <w:spacing w:line="600" w:lineRule="exact"/>
        <w:ind w:firstLine="707" w:firstLineChars="221"/>
        <w:rPr>
          <w:rFonts w:ascii="仿宋" w:hAnsi="仿宋" w:eastAsia="仿宋" w:cs="仿宋"/>
          <w:color w:val="000000"/>
          <w:kern w:val="0"/>
          <w:sz w:val="32"/>
          <w:szCs w:val="32"/>
        </w:rPr>
        <w:sectPr>
          <w:pgSz w:w="11906" w:h="16838"/>
          <w:pgMar w:top="1440" w:right="1800" w:bottom="1440" w:left="1800" w:header="851" w:footer="992" w:gutter="0"/>
          <w:cols w:space="425" w:num="1"/>
          <w:docGrid w:type="lines" w:linePitch="312" w:charSpace="0"/>
        </w:sectPr>
      </w:pPr>
    </w:p>
    <w:p>
      <w:pPr>
        <w:spacing w:line="600" w:lineRule="exact"/>
        <w:ind w:firstLine="709"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一、财政拨款收入：</w:t>
      </w:r>
      <w:r>
        <w:rPr>
          <w:rFonts w:hint="eastAsia" w:ascii="仿宋" w:hAnsi="仿宋" w:eastAsia="仿宋" w:cs="仿宋"/>
          <w:color w:val="000000"/>
          <w:kern w:val="0"/>
          <w:sz w:val="32"/>
          <w:szCs w:val="32"/>
        </w:rPr>
        <w:t>指财政当年拨付的资金，包括一般公共预算拨款收入、政府性基金预算拨款收入、国有资本经营预算拨款收入。</w:t>
      </w:r>
      <w:r>
        <w:rPr>
          <w:rFonts w:ascii="仿宋" w:hAnsi="仿宋" w:eastAsia="仿宋" w:cs="仿宋"/>
          <w:color w:val="000000"/>
          <w:kern w:val="0"/>
          <w:sz w:val="32"/>
          <w:szCs w:val="32"/>
        </w:rPr>
        <w:t xml:space="preserve"> </w:t>
      </w:r>
    </w:p>
    <w:p>
      <w:pPr>
        <w:spacing w:line="600" w:lineRule="exact"/>
        <w:ind w:firstLine="709"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pPr>
        <w:spacing w:line="600" w:lineRule="exact"/>
        <w:ind w:firstLine="709"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三、事业单位经营收入：</w:t>
      </w:r>
      <w:r>
        <w:rPr>
          <w:rFonts w:hint="eastAsia" w:ascii="仿宋" w:hAnsi="仿宋" w:eastAsia="仿宋" w:cs="仿宋"/>
          <w:color w:val="000000"/>
          <w:kern w:val="0"/>
          <w:sz w:val="32"/>
          <w:szCs w:val="32"/>
        </w:rPr>
        <w:t>指事业单位在专业业务活动及其辅助活动之外开展非独立核算经营活动取得的收入。</w:t>
      </w:r>
      <w:r>
        <w:rPr>
          <w:rFonts w:ascii="仿宋" w:hAnsi="仿宋" w:eastAsia="仿宋" w:cs="仿宋"/>
          <w:color w:val="000000"/>
          <w:kern w:val="0"/>
          <w:sz w:val="32"/>
          <w:szCs w:val="32"/>
        </w:rPr>
        <w:t xml:space="preserve"> </w:t>
      </w:r>
    </w:p>
    <w:p>
      <w:pPr>
        <w:spacing w:line="600" w:lineRule="exact"/>
        <w:ind w:firstLine="709"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指除上述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事业单位经营收入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等以外的收入。主要是事业单位固定资产出租收入、存款利息收入等。</w:t>
      </w:r>
      <w:r>
        <w:rPr>
          <w:rFonts w:ascii="仿宋" w:hAnsi="仿宋" w:eastAsia="仿宋" w:cs="仿宋"/>
          <w:color w:val="000000"/>
          <w:kern w:val="0"/>
          <w:sz w:val="32"/>
          <w:szCs w:val="32"/>
        </w:rPr>
        <w:t xml:space="preserve"> </w:t>
      </w:r>
    </w:p>
    <w:p>
      <w:pPr>
        <w:spacing w:line="600" w:lineRule="exact"/>
        <w:ind w:firstLine="642" w:firstLineChars="200"/>
        <w:rPr>
          <w:rFonts w:ascii="仿宋" w:hAnsi="仿宋" w:eastAsia="仿宋" w:cs="仿宋"/>
          <w:color w:val="000000"/>
          <w:kern w:val="0"/>
          <w:sz w:val="32"/>
          <w:szCs w:val="32"/>
        </w:rPr>
      </w:pPr>
      <w:r>
        <w:rPr>
          <w:rFonts w:hint="eastAsia" w:ascii="仿宋" w:hAnsi="仿宋" w:eastAsia="仿宋" w:cs="仿宋"/>
          <w:b/>
          <w:color w:val="000000"/>
          <w:kern w:val="0"/>
          <w:sz w:val="32"/>
          <w:szCs w:val="32"/>
        </w:rPr>
        <w:t>五、结转结余资金：</w:t>
      </w:r>
      <w:r>
        <w:rPr>
          <w:rFonts w:hint="eastAsia" w:ascii="仿宋" w:hAnsi="仿宋" w:eastAsia="仿宋" w:cs="仿宋"/>
          <w:color w:val="000000"/>
          <w:kern w:val="0"/>
          <w:sz w:val="32"/>
          <w:szCs w:val="32"/>
        </w:rPr>
        <w:t>指以前年度尚未完成、结转到本年仍按原规定用途继续使用的资金，或项目已完成等产生的结余资金。</w:t>
      </w:r>
    </w:p>
    <w:p>
      <w:pPr>
        <w:pStyle w:val="12"/>
        <w:spacing w:line="600" w:lineRule="exact"/>
        <w:ind w:firstLine="640"/>
        <w:rPr>
          <w:rFonts w:hAnsi="仿宋"/>
          <w:sz w:val="32"/>
          <w:szCs w:val="32"/>
        </w:rPr>
      </w:pPr>
      <w:r>
        <w:rPr>
          <w:rFonts w:hint="eastAsia" w:hAnsi="仿宋"/>
          <w:b/>
          <w:sz w:val="32"/>
          <w:szCs w:val="32"/>
        </w:rPr>
        <w:t>六、基本支出：</w:t>
      </w:r>
      <w:r>
        <w:rPr>
          <w:rFonts w:hint="eastAsia" w:hAnsi="仿宋"/>
          <w:sz w:val="32"/>
          <w:szCs w:val="32"/>
        </w:rPr>
        <w:t>指为保障机构正常运转、完成日常工作任务而发生的人员支出和公用支出。</w:t>
      </w:r>
      <w:r>
        <w:rPr>
          <w:rFonts w:hAnsi="仿宋"/>
          <w:sz w:val="32"/>
          <w:szCs w:val="32"/>
        </w:rPr>
        <w:t xml:space="preserve"> </w:t>
      </w:r>
    </w:p>
    <w:p>
      <w:pPr>
        <w:pStyle w:val="12"/>
        <w:spacing w:line="600" w:lineRule="exact"/>
        <w:ind w:firstLine="640"/>
        <w:rPr>
          <w:rFonts w:hAnsi="仿宋"/>
          <w:sz w:val="32"/>
          <w:szCs w:val="32"/>
        </w:rPr>
      </w:pPr>
      <w:r>
        <w:rPr>
          <w:rFonts w:hint="eastAsia" w:hAnsi="仿宋"/>
          <w:b/>
          <w:sz w:val="32"/>
          <w:szCs w:val="32"/>
        </w:rPr>
        <w:t>七、项目支出：</w:t>
      </w:r>
      <w:r>
        <w:rPr>
          <w:rFonts w:hint="eastAsia" w:hAnsi="仿宋"/>
          <w:sz w:val="32"/>
          <w:szCs w:val="32"/>
        </w:rPr>
        <w:t>指在基本支出之外为完成特定行政任务或事业发展目标所发生的支出。</w:t>
      </w:r>
      <w:r>
        <w:rPr>
          <w:rFonts w:hAnsi="仿宋"/>
          <w:sz w:val="32"/>
          <w:szCs w:val="32"/>
        </w:rPr>
        <w:t xml:space="preserve"> </w:t>
      </w:r>
    </w:p>
    <w:p>
      <w:pPr>
        <w:pStyle w:val="12"/>
        <w:spacing w:line="600" w:lineRule="exact"/>
        <w:ind w:firstLine="640"/>
        <w:rPr>
          <w:rFonts w:hAnsi="仿宋"/>
          <w:sz w:val="32"/>
          <w:szCs w:val="32"/>
        </w:rPr>
      </w:pPr>
      <w:r>
        <w:rPr>
          <w:rFonts w:hint="eastAsia" w:hAnsi="仿宋"/>
          <w:b/>
          <w:sz w:val="32"/>
          <w:szCs w:val="32"/>
        </w:rPr>
        <w:t>八、事业单位经营支出：</w:t>
      </w:r>
      <w:r>
        <w:rPr>
          <w:rFonts w:hint="eastAsia" w:hAnsi="仿宋"/>
          <w:sz w:val="32"/>
          <w:szCs w:val="32"/>
        </w:rPr>
        <w:t>指事业单位在专业业务活动及其辅助活动之外开展非独立核算经营活动发生的支出。</w:t>
      </w:r>
      <w:r>
        <w:rPr>
          <w:rFonts w:hAnsi="仿宋"/>
          <w:sz w:val="32"/>
          <w:szCs w:val="32"/>
        </w:rPr>
        <w:t xml:space="preserve"> </w:t>
      </w:r>
    </w:p>
    <w:p>
      <w:pPr>
        <w:pStyle w:val="12"/>
        <w:spacing w:line="600" w:lineRule="exact"/>
        <w:ind w:firstLine="640"/>
        <w:rPr>
          <w:rFonts w:hAnsi="仿宋"/>
          <w:sz w:val="32"/>
          <w:szCs w:val="32"/>
        </w:rPr>
      </w:pPr>
      <w:r>
        <w:rPr>
          <w:rFonts w:hint="eastAsia" w:hAnsi="仿宋"/>
          <w:b/>
          <w:sz w:val="32"/>
          <w:szCs w:val="32"/>
        </w:rPr>
        <w:t>九、上缴上级支出：</w:t>
      </w:r>
      <w:r>
        <w:rPr>
          <w:rFonts w:hint="eastAsia" w:hAnsi="仿宋"/>
          <w:sz w:val="32"/>
          <w:szCs w:val="32"/>
        </w:rPr>
        <w:t>指下级单位上缴上级的支出。</w:t>
      </w:r>
    </w:p>
    <w:p>
      <w:pPr>
        <w:pStyle w:val="12"/>
        <w:spacing w:line="600" w:lineRule="exact"/>
        <w:ind w:firstLine="640"/>
        <w:rPr>
          <w:rFonts w:hAnsi="仿宋"/>
          <w:sz w:val="32"/>
          <w:szCs w:val="32"/>
        </w:rPr>
      </w:pPr>
      <w:r>
        <w:rPr>
          <w:rFonts w:hint="eastAsia" w:hAnsi="仿宋"/>
          <w:b/>
          <w:sz w:val="32"/>
          <w:szCs w:val="32"/>
        </w:rPr>
        <w:t>十、对附属单位补助支出：</w:t>
      </w:r>
      <w:r>
        <w:rPr>
          <w:rFonts w:hint="eastAsia" w:hAnsi="仿宋"/>
          <w:sz w:val="32"/>
          <w:szCs w:val="32"/>
        </w:rPr>
        <w:t>指对下级单位补助发生的支出。</w:t>
      </w:r>
    </w:p>
    <w:p>
      <w:pPr>
        <w:pStyle w:val="12"/>
        <w:spacing w:line="600" w:lineRule="exact"/>
        <w:ind w:firstLine="640"/>
        <w:rPr>
          <w:rFonts w:hAnsi="仿宋"/>
          <w:sz w:val="32"/>
          <w:szCs w:val="32"/>
        </w:rPr>
      </w:pPr>
      <w:r>
        <w:rPr>
          <w:rFonts w:hint="eastAsia" w:hAnsi="仿宋"/>
          <w:b/>
          <w:sz w:val="32"/>
          <w:szCs w:val="32"/>
        </w:rPr>
        <w:t>十一、</w:t>
      </w:r>
      <w:r>
        <w:rPr>
          <w:rFonts w:hAnsi="仿宋"/>
          <w:b/>
          <w:sz w:val="32"/>
          <w:szCs w:val="32"/>
        </w:rPr>
        <w:t>“</w:t>
      </w:r>
      <w:r>
        <w:rPr>
          <w:rFonts w:hint="eastAsia" w:hAnsi="仿宋"/>
          <w:b/>
          <w:sz w:val="32"/>
          <w:szCs w:val="32"/>
        </w:rPr>
        <w:t>三公</w:t>
      </w:r>
      <w:r>
        <w:rPr>
          <w:rFonts w:hAnsi="仿宋"/>
          <w:b/>
          <w:sz w:val="32"/>
          <w:szCs w:val="32"/>
        </w:rPr>
        <w:t>”</w:t>
      </w:r>
      <w:r>
        <w:rPr>
          <w:rFonts w:hint="eastAsia" w:hAnsi="仿宋"/>
          <w:b/>
          <w:sz w:val="32"/>
          <w:szCs w:val="32"/>
        </w:rPr>
        <w:t>经费：</w:t>
      </w:r>
      <w:r>
        <w:rPr>
          <w:rFonts w:hint="eastAsia" w:hAnsi="仿宋"/>
          <w:sz w:val="32"/>
          <w:szCs w:val="32"/>
        </w:rPr>
        <w:t>纳入财政预决算管理的</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支出</w:t>
      </w:r>
      <w:r>
        <w:rPr>
          <w:rFonts w:hAnsi="仿宋"/>
          <w:sz w:val="32"/>
          <w:szCs w:val="32"/>
        </w:rPr>
        <w:t>(</w:t>
      </w:r>
      <w:r>
        <w:rPr>
          <w:rFonts w:hint="eastAsia" w:hAnsi="仿宋"/>
          <w:sz w:val="32"/>
          <w:szCs w:val="32"/>
        </w:rPr>
        <w:t>含车辆购置税、牌照费</w:t>
      </w:r>
      <w:r>
        <w:rPr>
          <w:rFonts w:hAnsi="仿宋"/>
          <w:sz w:val="32"/>
          <w:szCs w:val="32"/>
        </w:rPr>
        <w:t>)</w:t>
      </w:r>
      <w:r>
        <w:rPr>
          <w:rFonts w:hint="eastAsia" w:hAnsi="仿宋"/>
          <w:sz w:val="32"/>
          <w:szCs w:val="32"/>
        </w:rPr>
        <w:t>及燃料费、维修费、过桥过路费、保险费、安全奖励费用等支出；公务接待费反映单位按规定开支的各类公务接待（含外宾接待）支出。</w:t>
      </w:r>
      <w:r>
        <w:rPr>
          <w:rFonts w:hAnsi="仿宋"/>
          <w:sz w:val="32"/>
          <w:szCs w:val="32"/>
        </w:rPr>
        <w:t xml:space="preserve"> </w:t>
      </w:r>
    </w:p>
    <w:p>
      <w:pPr>
        <w:ind w:firstLine="642" w:firstLineChars="200"/>
        <w:jc w:val="left"/>
        <w:rPr>
          <w:rFonts w:asciiTheme="majorEastAsia" w:hAnsiTheme="majorEastAsia" w:eastAsiaTheme="majorEastAsia"/>
          <w:b/>
          <w:sz w:val="40"/>
        </w:rPr>
      </w:pPr>
      <w:r>
        <w:rPr>
          <w:rFonts w:hint="eastAsia" w:ascii="仿宋" w:hAnsi="仿宋" w:eastAsia="仿宋"/>
          <w:b/>
          <w:sz w:val="32"/>
          <w:szCs w:val="32"/>
        </w:rPr>
        <w:t>十二、机关运行经费：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GWZT-EN">
    <w:panose1 w:val="020204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rFonts w:ascii="宋体" w:hAnsi="宋体" w:eastAsia="宋体"/>
        <w:sz w:val="28"/>
        <w:szCs w:val="28"/>
      </w:rPr>
    </w:sdtEndPr>
    <w:sdtContent>
      <w:p>
        <w:pPr>
          <w:pStyle w:val="4"/>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36</w:t>
        </w:r>
        <w:r>
          <w:rPr>
            <w:rFonts w:ascii="宋体" w:hAnsi="宋体" w:eastAsia="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7988E"/>
    <w:multiLevelType w:val="singleLevel"/>
    <w:tmpl w:val="FBF7988E"/>
    <w:lvl w:ilvl="0" w:tentative="0">
      <w:start w:val="8"/>
      <w:numFmt w:val="chineseCounting"/>
      <w:suff w:val="nothing"/>
      <w:lvlText w:val="%1、"/>
      <w:lvlJc w:val="left"/>
      <w:rPr>
        <w:rFonts w:hint="eastAsia"/>
      </w:rPr>
    </w:lvl>
  </w:abstractNum>
  <w:abstractNum w:abstractNumId="1">
    <w:nsid w:val="5ADBE69A"/>
    <w:multiLevelType w:val="singleLevel"/>
    <w:tmpl w:val="5ADBE69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140"/>
    <w:rsid w:val="000000B0"/>
    <w:rsid w:val="000137C6"/>
    <w:rsid w:val="00015F8A"/>
    <w:rsid w:val="00021833"/>
    <w:rsid w:val="00033F71"/>
    <w:rsid w:val="0003780F"/>
    <w:rsid w:val="000470A9"/>
    <w:rsid w:val="00050A65"/>
    <w:rsid w:val="00080CC1"/>
    <w:rsid w:val="0008592D"/>
    <w:rsid w:val="00085F2B"/>
    <w:rsid w:val="00096056"/>
    <w:rsid w:val="000B35CC"/>
    <w:rsid w:val="000C0D0F"/>
    <w:rsid w:val="00105219"/>
    <w:rsid w:val="001315FC"/>
    <w:rsid w:val="00134215"/>
    <w:rsid w:val="0014464B"/>
    <w:rsid w:val="00145976"/>
    <w:rsid w:val="001569B3"/>
    <w:rsid w:val="00162161"/>
    <w:rsid w:val="00167378"/>
    <w:rsid w:val="00172CC0"/>
    <w:rsid w:val="00176507"/>
    <w:rsid w:val="001767B3"/>
    <w:rsid w:val="001A47A7"/>
    <w:rsid w:val="001A5903"/>
    <w:rsid w:val="001B45ED"/>
    <w:rsid w:val="001D4196"/>
    <w:rsid w:val="001E0090"/>
    <w:rsid w:val="001E2339"/>
    <w:rsid w:val="001F391B"/>
    <w:rsid w:val="002020AE"/>
    <w:rsid w:val="00221F98"/>
    <w:rsid w:val="002243EF"/>
    <w:rsid w:val="002311C9"/>
    <w:rsid w:val="00240977"/>
    <w:rsid w:val="00244E2B"/>
    <w:rsid w:val="00245FED"/>
    <w:rsid w:val="002562C1"/>
    <w:rsid w:val="00264B96"/>
    <w:rsid w:val="00290C77"/>
    <w:rsid w:val="002B1982"/>
    <w:rsid w:val="002B699A"/>
    <w:rsid w:val="002D3F89"/>
    <w:rsid w:val="002E123F"/>
    <w:rsid w:val="002F0ECE"/>
    <w:rsid w:val="002F1995"/>
    <w:rsid w:val="002F1B6F"/>
    <w:rsid w:val="00305616"/>
    <w:rsid w:val="00311E91"/>
    <w:rsid w:val="00312014"/>
    <w:rsid w:val="00317140"/>
    <w:rsid w:val="003322AE"/>
    <w:rsid w:val="00334F93"/>
    <w:rsid w:val="00353125"/>
    <w:rsid w:val="00355BAB"/>
    <w:rsid w:val="00360D9A"/>
    <w:rsid w:val="00381D4F"/>
    <w:rsid w:val="003B2C9B"/>
    <w:rsid w:val="003B798E"/>
    <w:rsid w:val="003C2183"/>
    <w:rsid w:val="00405EA3"/>
    <w:rsid w:val="00414790"/>
    <w:rsid w:val="0042125F"/>
    <w:rsid w:val="00421FB1"/>
    <w:rsid w:val="00434CBE"/>
    <w:rsid w:val="00442172"/>
    <w:rsid w:val="00445C9B"/>
    <w:rsid w:val="0044633A"/>
    <w:rsid w:val="004D696A"/>
    <w:rsid w:val="004F0B75"/>
    <w:rsid w:val="00504A24"/>
    <w:rsid w:val="005354CD"/>
    <w:rsid w:val="00535E87"/>
    <w:rsid w:val="00560B0B"/>
    <w:rsid w:val="00577AEF"/>
    <w:rsid w:val="00584849"/>
    <w:rsid w:val="005A69E4"/>
    <w:rsid w:val="005B00AC"/>
    <w:rsid w:val="005B1EBF"/>
    <w:rsid w:val="005D7140"/>
    <w:rsid w:val="00606548"/>
    <w:rsid w:val="00606A72"/>
    <w:rsid w:val="006354A5"/>
    <w:rsid w:val="00645111"/>
    <w:rsid w:val="006A5A31"/>
    <w:rsid w:val="006B70C6"/>
    <w:rsid w:val="006C4713"/>
    <w:rsid w:val="006F1EE5"/>
    <w:rsid w:val="007015F0"/>
    <w:rsid w:val="007030FB"/>
    <w:rsid w:val="00723EF2"/>
    <w:rsid w:val="00743C81"/>
    <w:rsid w:val="00753E47"/>
    <w:rsid w:val="00760DCF"/>
    <w:rsid w:val="00763A54"/>
    <w:rsid w:val="00773637"/>
    <w:rsid w:val="00775567"/>
    <w:rsid w:val="007A30B9"/>
    <w:rsid w:val="007B32F9"/>
    <w:rsid w:val="007C60CF"/>
    <w:rsid w:val="00800C7B"/>
    <w:rsid w:val="00804D1C"/>
    <w:rsid w:val="0080527E"/>
    <w:rsid w:val="008071E4"/>
    <w:rsid w:val="008519DD"/>
    <w:rsid w:val="00855527"/>
    <w:rsid w:val="0086239A"/>
    <w:rsid w:val="008763D2"/>
    <w:rsid w:val="00880C2D"/>
    <w:rsid w:val="008870DD"/>
    <w:rsid w:val="008906D2"/>
    <w:rsid w:val="008A73C5"/>
    <w:rsid w:val="008A7421"/>
    <w:rsid w:val="008D5DFA"/>
    <w:rsid w:val="008D6F87"/>
    <w:rsid w:val="008E3CBD"/>
    <w:rsid w:val="00937A03"/>
    <w:rsid w:val="0094672F"/>
    <w:rsid w:val="009739A9"/>
    <w:rsid w:val="009756CF"/>
    <w:rsid w:val="0098386D"/>
    <w:rsid w:val="009C7FB5"/>
    <w:rsid w:val="009D76A4"/>
    <w:rsid w:val="00A0449D"/>
    <w:rsid w:val="00A10948"/>
    <w:rsid w:val="00A122A0"/>
    <w:rsid w:val="00A22731"/>
    <w:rsid w:val="00A23912"/>
    <w:rsid w:val="00A304F7"/>
    <w:rsid w:val="00A36EAA"/>
    <w:rsid w:val="00A403DC"/>
    <w:rsid w:val="00A4118D"/>
    <w:rsid w:val="00A6048C"/>
    <w:rsid w:val="00A818C9"/>
    <w:rsid w:val="00A855BE"/>
    <w:rsid w:val="00AA455B"/>
    <w:rsid w:val="00AB1283"/>
    <w:rsid w:val="00AB1C5D"/>
    <w:rsid w:val="00AB691F"/>
    <w:rsid w:val="00AD7433"/>
    <w:rsid w:val="00B07727"/>
    <w:rsid w:val="00B43BCC"/>
    <w:rsid w:val="00B47684"/>
    <w:rsid w:val="00B67551"/>
    <w:rsid w:val="00B713B9"/>
    <w:rsid w:val="00B80A6F"/>
    <w:rsid w:val="00B83C27"/>
    <w:rsid w:val="00BF6327"/>
    <w:rsid w:val="00BF7317"/>
    <w:rsid w:val="00C02DE3"/>
    <w:rsid w:val="00C16FD3"/>
    <w:rsid w:val="00C33A0A"/>
    <w:rsid w:val="00C40AE7"/>
    <w:rsid w:val="00C43C36"/>
    <w:rsid w:val="00C7095D"/>
    <w:rsid w:val="00C82173"/>
    <w:rsid w:val="00C9493F"/>
    <w:rsid w:val="00CA39A1"/>
    <w:rsid w:val="00CC6B40"/>
    <w:rsid w:val="00D15C3B"/>
    <w:rsid w:val="00D208E9"/>
    <w:rsid w:val="00D4799A"/>
    <w:rsid w:val="00D90E4B"/>
    <w:rsid w:val="00D95257"/>
    <w:rsid w:val="00DD0E76"/>
    <w:rsid w:val="00DD596A"/>
    <w:rsid w:val="00DF317E"/>
    <w:rsid w:val="00E005FB"/>
    <w:rsid w:val="00E05319"/>
    <w:rsid w:val="00E117A7"/>
    <w:rsid w:val="00E236B8"/>
    <w:rsid w:val="00E24E96"/>
    <w:rsid w:val="00E332A8"/>
    <w:rsid w:val="00E67E4C"/>
    <w:rsid w:val="00E71AA9"/>
    <w:rsid w:val="00E90672"/>
    <w:rsid w:val="00E93BA5"/>
    <w:rsid w:val="00E9659E"/>
    <w:rsid w:val="00EA0606"/>
    <w:rsid w:val="00EA2CC5"/>
    <w:rsid w:val="00EA6416"/>
    <w:rsid w:val="00ED1D1C"/>
    <w:rsid w:val="00EF3EDC"/>
    <w:rsid w:val="00F233C0"/>
    <w:rsid w:val="00F32365"/>
    <w:rsid w:val="00F3255D"/>
    <w:rsid w:val="00F32D3C"/>
    <w:rsid w:val="00F62AD2"/>
    <w:rsid w:val="00F937DA"/>
    <w:rsid w:val="00FB3D59"/>
    <w:rsid w:val="00FC4095"/>
    <w:rsid w:val="00FE616A"/>
    <w:rsid w:val="00FE6949"/>
    <w:rsid w:val="00FF6212"/>
    <w:rsid w:val="00FF7B38"/>
    <w:rsid w:val="00FF7EA0"/>
    <w:rsid w:val="1FA985CE"/>
    <w:rsid w:val="46D40D0A"/>
    <w:rsid w:val="4791583C"/>
    <w:rsid w:val="4D424BF3"/>
    <w:rsid w:val="5AEFE109"/>
    <w:rsid w:val="5BCD1176"/>
    <w:rsid w:val="676F9AEC"/>
    <w:rsid w:val="79FDF3FB"/>
    <w:rsid w:val="CFA37EAB"/>
    <w:rsid w:val="DF7BE446"/>
    <w:rsid w:val="EFE75584"/>
    <w:rsid w:val="F7FA7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1"/>
    <w:pPr>
      <w:autoSpaceDE w:val="0"/>
      <w:autoSpaceDN w:val="0"/>
      <w:spacing w:line="240" w:lineRule="auto"/>
      <w:jc w:val="left"/>
    </w:pPr>
    <w:rPr>
      <w:rFonts w:ascii="Times New Roman" w:hAnsi="Times New Roman" w:eastAsia="Times New Roman" w:cs="Times New Roman"/>
      <w:kern w:val="0"/>
      <w:sz w:val="20"/>
      <w:szCs w:val="20"/>
      <w:lang w:eastAsia="en-US"/>
    </w:rPr>
  </w:style>
  <w:style w:type="paragraph" w:styleId="3">
    <w:name w:val="Balloon Text"/>
    <w:basedOn w:val="1"/>
    <w:link w:val="11"/>
    <w:unhideWhenUsed/>
    <w:qFormat/>
    <w:uiPriority w:val="99"/>
    <w:pPr>
      <w:spacing w:line="240" w:lineRule="auto"/>
    </w:pPr>
    <w:rPr>
      <w:sz w:val="18"/>
      <w:szCs w:val="18"/>
    </w:rPr>
  </w:style>
  <w:style w:type="paragraph" w:styleId="4">
    <w:name w:val="footer"/>
    <w:basedOn w:val="1"/>
    <w:link w:val="9"/>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正文文本 Char"/>
    <w:basedOn w:val="7"/>
    <w:link w:val="2"/>
    <w:qFormat/>
    <w:uiPriority w:val="1"/>
    <w:rPr>
      <w:rFonts w:ascii="Times New Roman" w:hAnsi="Times New Roman" w:eastAsia="Times New Roman" w:cs="Times New Roman"/>
      <w:kern w:val="0"/>
      <w:sz w:val="20"/>
      <w:szCs w:val="20"/>
      <w:lang w:eastAsia="en-US"/>
    </w:rPr>
  </w:style>
  <w:style w:type="character" w:customStyle="1" w:styleId="11">
    <w:name w:val="批注框文本 Char"/>
    <w:basedOn w:val="7"/>
    <w:link w:val="3"/>
    <w:semiHidden/>
    <w:qFormat/>
    <w:uiPriority w:val="99"/>
    <w:rPr>
      <w:sz w:val="18"/>
      <w:szCs w:val="18"/>
    </w:rPr>
  </w:style>
  <w:style w:type="paragraph" w:customStyle="1" w:styleId="12">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3">
    <w:name w:val="列出段落1"/>
    <w:basedOn w:val="1"/>
    <w:qFormat/>
    <w:uiPriority w:val="34"/>
    <w:pPr>
      <w:ind w:firstLine="420" w:firstLineChars="200"/>
    </w:pPr>
  </w:style>
  <w:style w:type="paragraph" w:styleId="14">
    <w:name w:val="List Paragraph"/>
    <w:basedOn w:val="1"/>
    <w:unhideWhenUsed/>
    <w:qFormat/>
    <w:uiPriority w:val="99"/>
    <w:pPr>
      <w:ind w:firstLine="420" w:firstLineChars="200"/>
    </w:pPr>
  </w:style>
  <w:style w:type="paragraph" w:customStyle="1" w:styleId="15">
    <w:name w:val="p0"/>
    <w:basedOn w:val="1"/>
    <w:qFormat/>
    <w:uiPriority w:val="99"/>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36</Pages>
  <Words>1903</Words>
  <Characters>10852</Characters>
  <Lines>90</Lines>
  <Paragraphs>25</Paragraphs>
  <TotalTime>7</TotalTime>
  <ScaleCrop>false</ScaleCrop>
  <LinksUpToDate>false</LinksUpToDate>
  <CharactersWithSpaces>12730</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2019-03-11T16:45:00Z</dcterms:created>
  <dc:creator>null</dc:creator>
  <cp:lastModifiedBy>lyadmin</cp:lastModifiedBy>
  <cp:lastPrinted>2024-04-03T10:55:00Z</cp:lastPrinted>
  <dcterms:modified xsi:type="dcterms:W3CDTF">2025-02-08T17:09:36Z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03640068BC0663285D66A5671E83A2CB</vt:lpwstr>
  </property>
</Properties>
</file>