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黑体" w:hAnsi="黑体" w:eastAsia="黑体"/>
          <w:color w:val="000000"/>
          <w:sz w:val="32"/>
          <w:szCs w:val="32"/>
          <w:lang w:eastAsia="zh-CN"/>
        </w:rPr>
      </w:pPr>
      <w:r>
        <w:rPr>
          <w:rFonts w:hint="eastAsia" w:ascii="黑体" w:hAnsi="黑体" w:eastAsia="黑体"/>
          <w:sz w:val="32"/>
          <w:szCs w:val="32"/>
          <w:lang w:eastAsia="zh-CN"/>
        </w:rPr>
        <w:t>附件</w:t>
      </w:r>
      <w:r>
        <w:rPr>
          <w:rFonts w:hint="eastAsia" w:ascii="黑体" w:hAnsi="黑体" w:eastAsia="黑体"/>
          <w:color w:val="000000"/>
          <w:sz w:val="32"/>
          <w:szCs w:val="32"/>
          <w:lang w:eastAsia="zh-CN"/>
        </w:rPr>
        <w:t>1</w:t>
      </w:r>
    </w:p>
    <w:p>
      <w:pPr>
        <w:spacing w:line="600" w:lineRule="exact"/>
        <w:jc w:val="center"/>
        <w:rPr>
          <w:rFonts w:hint="eastAsia" w:ascii="Times New Roman" w:hAnsi="Times New Roman" w:eastAsia="方正小标宋简体"/>
          <w:w w:val="99"/>
          <w:sz w:val="40"/>
          <w:szCs w:val="40"/>
          <w:lang w:eastAsia="zh-CN"/>
        </w:rPr>
      </w:pPr>
      <w:bookmarkStart w:id="0" w:name="_GoBack"/>
      <w:r>
        <w:rPr>
          <w:rFonts w:ascii="Times New Roman" w:hAnsi="Times New Roman" w:eastAsia="方正小标宋简体"/>
          <w:w w:val="99"/>
          <w:sz w:val="40"/>
          <w:szCs w:val="40"/>
          <w:lang w:eastAsia="zh-CN"/>
        </w:rPr>
        <w:t>2017年度龙岩市全流程网办事统一平台</w:t>
      </w:r>
    </w:p>
    <w:p>
      <w:pPr>
        <w:spacing w:line="600" w:lineRule="exact"/>
        <w:jc w:val="center"/>
        <w:rPr>
          <w:rFonts w:ascii="Times New Roman" w:hAnsi="Times New Roman" w:eastAsia="方正小标宋简体"/>
          <w:w w:val="99"/>
          <w:sz w:val="40"/>
          <w:szCs w:val="40"/>
          <w:lang w:eastAsia="zh-CN"/>
        </w:rPr>
      </w:pPr>
      <w:r>
        <w:rPr>
          <w:rFonts w:ascii="Times New Roman" w:hAnsi="Times New Roman" w:eastAsia="方正小标宋简体"/>
          <w:w w:val="99"/>
          <w:sz w:val="40"/>
          <w:szCs w:val="40"/>
          <w:lang w:eastAsia="zh-CN"/>
        </w:rPr>
        <w:t>漳</w:t>
      </w:r>
      <w:r>
        <w:rPr>
          <w:rFonts w:ascii="Times New Roman" w:hAnsi="Times New Roman" w:eastAsia="方正小标宋简体"/>
          <w:spacing w:val="20"/>
          <w:w w:val="99"/>
          <w:sz w:val="40"/>
          <w:szCs w:val="40"/>
          <w:lang w:eastAsia="zh-CN"/>
        </w:rPr>
        <w:t>平市开发部署经费使用绩效自评报</w:t>
      </w:r>
      <w:r>
        <w:rPr>
          <w:rFonts w:ascii="Times New Roman" w:hAnsi="Times New Roman" w:eastAsia="方正小标宋简体"/>
          <w:w w:val="99"/>
          <w:sz w:val="40"/>
          <w:szCs w:val="40"/>
          <w:lang w:eastAsia="zh-CN"/>
        </w:rPr>
        <w:t>告</w:t>
      </w:r>
      <w:bookmarkEnd w:id="0"/>
    </w:p>
    <w:p>
      <w:pPr>
        <w:spacing w:line="594" w:lineRule="exact"/>
        <w:jc w:val="center"/>
        <w:rPr>
          <w:rFonts w:ascii="Times New Roman" w:hAnsi="Times New Roman" w:eastAsia="方正小标宋简体"/>
          <w:spacing w:val="20"/>
          <w:w w:val="99"/>
          <w:sz w:val="42"/>
          <w:szCs w:val="42"/>
          <w:lang w:eastAsia="zh-CN"/>
        </w:rPr>
      </w:pPr>
    </w:p>
    <w:p>
      <w:pPr>
        <w:spacing w:line="594" w:lineRule="exact"/>
        <w:ind w:firstLine="640" w:firstLineChars="200"/>
        <w:rPr>
          <w:rFonts w:ascii="Times New Roman" w:hAnsi="Times New Roman" w:eastAsia="黑体"/>
          <w:sz w:val="32"/>
          <w:szCs w:val="32"/>
          <w:lang w:eastAsia="zh-CN"/>
        </w:rPr>
      </w:pPr>
      <w:r>
        <w:rPr>
          <w:rFonts w:ascii="Times New Roman" w:hAnsi="黑体" w:eastAsia="黑体"/>
          <w:sz w:val="32"/>
          <w:szCs w:val="32"/>
          <w:lang w:eastAsia="zh-CN"/>
        </w:rPr>
        <w:t>一、项目概况</w:t>
      </w:r>
    </w:p>
    <w:p>
      <w:pPr>
        <w:spacing w:line="594" w:lineRule="exact"/>
        <w:ind w:firstLine="640" w:firstLineChars="200"/>
        <w:rPr>
          <w:rFonts w:hint="eastAsia" w:ascii="楷体_GB2312" w:hAnsi="黑体" w:eastAsia="楷体_GB2312"/>
          <w:sz w:val="32"/>
          <w:szCs w:val="32"/>
          <w:lang w:eastAsia="zh-CN"/>
        </w:rPr>
      </w:pPr>
      <w:r>
        <w:rPr>
          <w:rFonts w:hint="eastAsia" w:ascii="楷体_GB2312" w:hAnsi="黑体" w:eastAsia="楷体_GB2312"/>
          <w:sz w:val="32"/>
          <w:szCs w:val="32"/>
          <w:lang w:eastAsia="zh-CN"/>
        </w:rPr>
        <w:t>（一）项目单位基本情况</w:t>
      </w:r>
    </w:p>
    <w:p>
      <w:pPr>
        <w:spacing w:line="594" w:lineRule="exact"/>
        <w:ind w:firstLine="640" w:firstLineChars="200"/>
        <w:rPr>
          <w:rFonts w:ascii="Times New Roman" w:hAnsi="Times New Roman" w:eastAsia="仿宋_GB2312"/>
          <w:b/>
          <w:sz w:val="32"/>
          <w:szCs w:val="32"/>
          <w:lang w:eastAsia="zh-CN"/>
        </w:rPr>
      </w:pPr>
      <w:r>
        <w:rPr>
          <w:rFonts w:ascii="Times New Roman" w:hAns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三服务”工作，努力建设富强、精美、幸福漳平</w:t>
      </w:r>
      <w:r>
        <w:rPr>
          <w:rFonts w:ascii="Times New Roman" w:hAnsi="Times New Roman" w:eastAsia="仿宋_GB2312"/>
          <w:spacing w:val="6"/>
          <w:sz w:val="32"/>
          <w:szCs w:val="32"/>
          <w:lang w:eastAsia="zh-CN"/>
        </w:rPr>
        <w:t>。</w:t>
      </w:r>
    </w:p>
    <w:p>
      <w:pPr>
        <w:snapToGrid w:val="0"/>
        <w:spacing w:line="594" w:lineRule="exact"/>
        <w:ind w:firstLine="640"/>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hint="eastAsia" w:ascii="Times New Roman" w:hAnsi="Times New Roman" w:eastAsia="仿宋_GB2312"/>
          <w:sz w:val="32"/>
          <w:szCs w:val="32"/>
          <w:lang w:eastAsia="zh-CN"/>
        </w:rPr>
        <w:t>：</w:t>
      </w:r>
    </w:p>
    <w:tbl>
      <w:tblPr>
        <w:tblStyle w:val="3"/>
        <w:tblW w:w="8391" w:type="dxa"/>
        <w:jc w:val="center"/>
        <w:tblInd w:w="-20" w:type="dxa"/>
        <w:tblLayout w:type="fixed"/>
        <w:tblCellMar>
          <w:top w:w="0" w:type="dxa"/>
          <w:left w:w="0" w:type="dxa"/>
          <w:bottom w:w="0" w:type="dxa"/>
          <w:right w:w="0" w:type="dxa"/>
        </w:tblCellMar>
      </w:tblPr>
      <w:tblGrid>
        <w:gridCol w:w="4662"/>
        <w:gridCol w:w="3729"/>
      </w:tblGrid>
      <w:tr>
        <w:tblPrEx>
          <w:tblLayout w:type="fixed"/>
          <w:tblCellMar>
            <w:top w:w="0" w:type="dxa"/>
            <w:left w:w="0" w:type="dxa"/>
            <w:bottom w:w="0" w:type="dxa"/>
            <w:right w:w="0" w:type="dxa"/>
          </w:tblCellMar>
        </w:tblPrEx>
        <w:trPr>
          <w:trHeight w:val="558" w:hRule="atLeast"/>
          <w:jc w:val="center"/>
        </w:trPr>
        <w:tc>
          <w:tcPr>
            <w:tcW w:w="4662" w:type="dxa"/>
            <w:tcBorders>
              <w:top w:val="single" w:color="auto" w:sz="8" w:space="0"/>
              <w:left w:val="single" w:color="auto" w:sz="8" w:space="0"/>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lang w:eastAsia="zh-CN"/>
              </w:rPr>
            </w:pPr>
            <w:r>
              <w:rPr>
                <w:rFonts w:ascii="Times New Roman" w:hAnsi="仿宋_GB2312" w:eastAsia="仿宋_GB2312"/>
                <w:sz w:val="30"/>
                <w:szCs w:val="30"/>
                <w:lang w:eastAsia="zh-CN"/>
              </w:rPr>
              <w:t>漳平市人民政府办公室</w:t>
            </w:r>
          </w:p>
        </w:tc>
        <w:tc>
          <w:tcPr>
            <w:tcW w:w="3729" w:type="dxa"/>
            <w:tcBorders>
              <w:top w:val="single" w:color="auto" w:sz="8" w:space="0"/>
              <w:left w:val="nil"/>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Times New Roman" w:eastAsia="仿宋_GB2312"/>
                <w:sz w:val="30"/>
                <w:szCs w:val="30"/>
              </w:rPr>
              <w:t>25</w:t>
            </w:r>
          </w:p>
        </w:tc>
      </w:tr>
      <w:tr>
        <w:tblPrEx>
          <w:tblLayout w:type="fixed"/>
          <w:tblCellMar>
            <w:top w:w="0" w:type="dxa"/>
            <w:left w:w="0" w:type="dxa"/>
            <w:bottom w:w="0" w:type="dxa"/>
            <w:right w:w="0" w:type="dxa"/>
          </w:tblCellMar>
        </w:tblPrEx>
        <w:trPr>
          <w:trHeight w:val="558" w:hRule="atLeast"/>
          <w:jc w:val="center"/>
        </w:trPr>
        <w:tc>
          <w:tcPr>
            <w:tcW w:w="4662" w:type="dxa"/>
            <w:tcBorders>
              <w:top w:val="nil"/>
              <w:left w:val="single" w:color="auto" w:sz="8" w:space="0"/>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仿宋_GB2312" w:eastAsia="仿宋_GB2312"/>
                <w:sz w:val="30"/>
                <w:szCs w:val="30"/>
              </w:rPr>
              <w:t>漳平市数字办</w:t>
            </w:r>
          </w:p>
        </w:tc>
        <w:tc>
          <w:tcPr>
            <w:tcW w:w="3729" w:type="dxa"/>
            <w:tcBorders>
              <w:top w:val="nil"/>
              <w:left w:val="nil"/>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58" w:hRule="atLeast"/>
          <w:jc w:val="center"/>
        </w:trPr>
        <w:tc>
          <w:tcPr>
            <w:tcW w:w="4662" w:type="dxa"/>
            <w:tcBorders>
              <w:top w:val="nil"/>
              <w:left w:val="single" w:color="auto" w:sz="8" w:space="0"/>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仿宋_GB2312" w:eastAsia="仿宋_GB2312"/>
                <w:sz w:val="30"/>
                <w:szCs w:val="30"/>
              </w:rPr>
              <w:t>漳平市总值班室</w:t>
            </w:r>
          </w:p>
        </w:tc>
        <w:tc>
          <w:tcPr>
            <w:tcW w:w="3729" w:type="dxa"/>
            <w:tcBorders>
              <w:top w:val="nil"/>
              <w:left w:val="nil"/>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58" w:hRule="atLeast"/>
          <w:jc w:val="center"/>
        </w:trPr>
        <w:tc>
          <w:tcPr>
            <w:tcW w:w="4662" w:type="dxa"/>
            <w:tcBorders>
              <w:top w:val="nil"/>
              <w:left w:val="single" w:color="auto" w:sz="8" w:space="0"/>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lang w:eastAsia="zh-CN"/>
              </w:rPr>
            </w:pPr>
            <w:r>
              <w:rPr>
                <w:rFonts w:ascii="Times New Roman" w:hAnsi="仿宋_GB2312" w:eastAsia="仿宋_GB2312"/>
                <w:sz w:val="30"/>
                <w:szCs w:val="30"/>
                <w:lang w:eastAsia="zh-CN"/>
              </w:rPr>
              <w:t>漳平市县域经济发展研究中心</w:t>
            </w:r>
          </w:p>
        </w:tc>
        <w:tc>
          <w:tcPr>
            <w:tcW w:w="3729" w:type="dxa"/>
            <w:tcBorders>
              <w:top w:val="nil"/>
              <w:left w:val="nil"/>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Times New Roman" w:eastAsia="仿宋_GB2312"/>
                <w:sz w:val="30"/>
                <w:szCs w:val="30"/>
              </w:rPr>
              <w:t>6</w:t>
            </w:r>
          </w:p>
        </w:tc>
      </w:tr>
      <w:tr>
        <w:tblPrEx>
          <w:tblLayout w:type="fixed"/>
          <w:tblCellMar>
            <w:top w:w="0" w:type="dxa"/>
            <w:left w:w="0" w:type="dxa"/>
            <w:bottom w:w="0" w:type="dxa"/>
            <w:right w:w="0" w:type="dxa"/>
          </w:tblCellMar>
        </w:tblPrEx>
        <w:trPr>
          <w:trHeight w:val="575" w:hRule="atLeast"/>
          <w:jc w:val="center"/>
        </w:trPr>
        <w:tc>
          <w:tcPr>
            <w:tcW w:w="4662" w:type="dxa"/>
            <w:tcBorders>
              <w:top w:val="nil"/>
              <w:left w:val="single" w:color="auto" w:sz="8" w:space="0"/>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仿宋_GB2312" w:eastAsia="仿宋_GB2312"/>
                <w:sz w:val="30"/>
                <w:szCs w:val="30"/>
              </w:rPr>
              <w:t>漳平市绩效评估中心</w:t>
            </w:r>
          </w:p>
        </w:tc>
        <w:tc>
          <w:tcPr>
            <w:tcW w:w="3729" w:type="dxa"/>
            <w:tcBorders>
              <w:top w:val="nil"/>
              <w:left w:val="nil"/>
              <w:bottom w:val="single" w:color="auto" w:sz="8" w:space="0"/>
              <w:right w:val="single" w:color="auto" w:sz="8" w:space="0"/>
            </w:tcBorders>
            <w:vAlign w:val="center"/>
          </w:tcPr>
          <w:p>
            <w:pPr>
              <w:snapToGrid w:val="0"/>
              <w:spacing w:line="500" w:lineRule="atLeast"/>
              <w:jc w:val="center"/>
              <w:rPr>
                <w:rFonts w:ascii="Times New Roman" w:hAnsi="Times New Roman" w:eastAsia="仿宋_GB2312"/>
                <w:sz w:val="30"/>
                <w:szCs w:val="30"/>
              </w:rPr>
            </w:pPr>
            <w:r>
              <w:rPr>
                <w:rFonts w:ascii="Times New Roman" w:hAnsi="Times New Roman" w:eastAsia="仿宋_GB2312"/>
                <w:sz w:val="30"/>
                <w:szCs w:val="30"/>
              </w:rPr>
              <w:t>6</w:t>
            </w:r>
          </w:p>
        </w:tc>
      </w:tr>
    </w:tbl>
    <w:p>
      <w:pPr>
        <w:spacing w:line="594" w:lineRule="exact"/>
        <w:ind w:firstLine="640" w:firstLineChars="200"/>
        <w:rPr>
          <w:rFonts w:ascii="楷体_GB2312" w:hAnsi="黑体" w:eastAsia="楷体_GB2312"/>
          <w:sz w:val="32"/>
          <w:szCs w:val="32"/>
          <w:lang w:eastAsia="zh-CN"/>
        </w:rPr>
      </w:pPr>
      <w:r>
        <w:rPr>
          <w:rFonts w:hint="eastAsia" w:ascii="楷体_GB2312" w:hAnsi="黑体" w:eastAsia="楷体_GB2312"/>
          <w:sz w:val="32"/>
          <w:szCs w:val="32"/>
          <w:lang w:eastAsia="zh-CN"/>
        </w:rPr>
        <w:t>（二）</w:t>
      </w:r>
      <w:r>
        <w:rPr>
          <w:rFonts w:ascii="楷体_GB2312" w:hAnsi="黑体" w:eastAsia="楷体_GB2312"/>
          <w:sz w:val="32"/>
          <w:szCs w:val="32"/>
          <w:lang w:eastAsia="zh-CN"/>
        </w:rPr>
        <w:t>项目基本情况</w:t>
      </w:r>
    </w:p>
    <w:p>
      <w:pPr>
        <w:spacing w:line="594" w:lineRule="exact"/>
        <w:ind w:firstLine="630"/>
        <w:jc w:val="distribute"/>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根据龙网办函</w:t>
      </w:r>
      <w:r>
        <w:rPr>
          <w:rFonts w:ascii="Times New Roman" w:hAnsi="Times New Roman" w:eastAsia="仿宋_GB2312"/>
          <w:sz w:val="32"/>
          <w:szCs w:val="32"/>
          <w:lang w:eastAsia="zh-CN"/>
        </w:rPr>
        <w:t>〔201</w:t>
      </w:r>
      <w:r>
        <w:rPr>
          <w:rFonts w:hint="eastAsia" w:ascii="Times New Roman" w:hAnsi="Times New Roman" w:eastAsia="仿宋_GB2312"/>
          <w:sz w:val="32"/>
          <w:szCs w:val="32"/>
          <w:lang w:eastAsia="zh-CN"/>
        </w:rPr>
        <w:t>5</w:t>
      </w:r>
      <w:r>
        <w:rPr>
          <w:rFonts w:ascii="Times New Roman" w:hAnsi="Times New Roman" w:eastAsia="仿宋_GB2312"/>
          <w:sz w:val="32"/>
          <w:szCs w:val="32"/>
          <w:lang w:eastAsia="zh-CN"/>
        </w:rPr>
        <w:t>〕</w:t>
      </w:r>
      <w:r>
        <w:rPr>
          <w:rFonts w:ascii="Times New Roman" w:hAnsi="Times New Roman" w:eastAsia="仿宋_GB2312"/>
          <w:color w:val="000000"/>
          <w:sz w:val="32"/>
          <w:szCs w:val="32"/>
          <w:lang w:eastAsia="zh-CN"/>
        </w:rPr>
        <w:t>1</w:t>
      </w:r>
      <w:r>
        <w:rPr>
          <w:rFonts w:ascii="Times New Roman" w:hAnsi="仿宋_GB2312" w:eastAsia="仿宋_GB2312"/>
          <w:color w:val="000000"/>
          <w:sz w:val="32"/>
          <w:szCs w:val="32"/>
          <w:lang w:eastAsia="zh-CN"/>
        </w:rPr>
        <w:t>号，龙岩市全流程网上办事统一</w:t>
      </w:r>
    </w:p>
    <w:p>
      <w:pPr>
        <w:spacing w:line="594" w:lineRule="exact"/>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平台漳平市开发部署经费</w:t>
      </w:r>
      <w:r>
        <w:rPr>
          <w:rFonts w:ascii="Times New Roman" w:hAnsi="Times New Roman" w:eastAsia="仿宋_GB2312"/>
          <w:color w:val="000000"/>
          <w:sz w:val="32"/>
          <w:szCs w:val="32"/>
          <w:lang w:eastAsia="zh-CN"/>
        </w:rPr>
        <w:t>97.614</w:t>
      </w:r>
      <w:r>
        <w:rPr>
          <w:rFonts w:ascii="Times New Roman" w:hAnsi="仿宋_GB2312" w:eastAsia="仿宋_GB2312"/>
          <w:color w:val="000000"/>
          <w:sz w:val="32"/>
          <w:szCs w:val="32"/>
          <w:lang w:eastAsia="zh-CN"/>
        </w:rPr>
        <w:t>万元，主要用于龙岩市全流程</w:t>
      </w:r>
    </w:p>
    <w:p>
      <w:pPr>
        <w:spacing w:line="594" w:lineRule="exact"/>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网上办事统一平台漳平市开发部署建设。</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rPr>
          <w:rFonts w:ascii="Times New Roman" w:hAnsi="Times New Roman" w:eastAsia="仿宋_GB2312"/>
          <w:color w:val="FF0000"/>
          <w:sz w:val="32"/>
          <w:szCs w:val="32"/>
          <w:lang w:eastAsia="zh-CN"/>
        </w:rPr>
      </w:pPr>
      <w:r>
        <w:rPr>
          <w:rFonts w:ascii="Times New Roman" w:hAnsi="Times New Roman" w:eastAsia="黑体"/>
          <w:sz w:val="32"/>
          <w:szCs w:val="32"/>
          <w:lang w:eastAsia="zh-CN"/>
        </w:rPr>
        <w:t>二、专项支出项目实施基本情况</w:t>
      </w:r>
    </w:p>
    <w:p>
      <w:pPr>
        <w:spacing w:line="594" w:lineRule="exact"/>
        <w:ind w:firstLine="640" w:firstLineChars="200"/>
        <w:rPr>
          <w:rFonts w:ascii="楷体_GB2312" w:hAnsi="黑体" w:eastAsia="楷体_GB2312"/>
          <w:sz w:val="32"/>
          <w:szCs w:val="32"/>
          <w:lang w:eastAsia="zh-CN"/>
        </w:rPr>
      </w:pPr>
      <w:r>
        <w:rPr>
          <w:rFonts w:ascii="楷体_GB2312" w:hAnsi="黑体" w:eastAsia="楷体_GB2312"/>
          <w:sz w:val="32"/>
          <w:szCs w:val="32"/>
          <w:lang w:eastAsia="zh-CN"/>
        </w:rPr>
        <w:t>（一）项目组织管理情况</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bCs/>
          <w:sz w:val="32"/>
          <w:szCs w:val="32"/>
          <w:lang w:eastAsia="zh-CN"/>
        </w:rPr>
        <w:t>根据</w:t>
      </w:r>
      <w:r>
        <w:rPr>
          <w:rFonts w:ascii="Times New Roman" w:hAnsi="仿宋_GB2312" w:eastAsia="仿宋_GB2312"/>
          <w:sz w:val="32"/>
          <w:szCs w:val="32"/>
          <w:lang w:eastAsia="zh-CN"/>
        </w:rPr>
        <w:t>根据龙网办函</w:t>
      </w:r>
      <w:r>
        <w:rPr>
          <w:rFonts w:ascii="Times New Roman" w:hAnsi="Times New Roman" w:eastAsia="仿宋_GB2312"/>
          <w:sz w:val="32"/>
          <w:szCs w:val="32"/>
          <w:lang w:eastAsia="zh-CN"/>
        </w:rPr>
        <w:t>〔2015〕1</w:t>
      </w:r>
      <w:r>
        <w:rPr>
          <w:rFonts w:ascii="Times New Roman" w:hAnsi="仿宋_GB2312" w:eastAsia="仿宋_GB2312"/>
          <w:sz w:val="32"/>
          <w:szCs w:val="32"/>
          <w:lang w:eastAsia="zh-CN"/>
        </w:rPr>
        <w:t>号的要求，推行跨层级、跨部门联动审批和全流程网上办理。统一平台通用软件和开发建设费用由市财政承担，部署和实施运行服务费由龙岩市统一招标，各地按招标结果的费用标准支付。由中标单位签订合同进行项目提供和部署开发和服务。漳平市全流程网上办事系统上线后，根据合同规定进行验收和支付款项。该项目已开发部署建设投入使用。</w:t>
      </w:r>
    </w:p>
    <w:p>
      <w:pPr>
        <w:widowControl w:val="0"/>
        <w:spacing w:line="594" w:lineRule="exact"/>
        <w:ind w:left="64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（二）项目资金使用状况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2017</w:t>
      </w:r>
      <w:r>
        <w:rPr>
          <w:rFonts w:ascii="Times New Roman" w:eastAsia="仿宋_GB2312"/>
          <w:sz w:val="32"/>
          <w:szCs w:val="32"/>
          <w:lang w:eastAsia="zh-CN"/>
        </w:rPr>
        <w:t>年市财政预算批复，财政下达我办</w:t>
      </w:r>
      <w:r>
        <w:rPr>
          <w:rFonts w:ascii="Times New Roman" w:hAnsi="仿宋_GB2312" w:eastAsia="仿宋_GB2312"/>
          <w:sz w:val="32"/>
          <w:szCs w:val="32"/>
          <w:lang w:eastAsia="zh-CN"/>
        </w:rPr>
        <w:t>龙岩市全流程网上办事统一平台漳平市开发部署经费</w:t>
      </w:r>
      <w:r>
        <w:rPr>
          <w:rFonts w:ascii="Times New Roman" w:hAnsi="Times New Roman" w:eastAsia="仿宋_GB2312"/>
          <w:sz w:val="32"/>
          <w:szCs w:val="32"/>
          <w:lang w:eastAsia="zh-CN"/>
        </w:rPr>
        <w:t>97.614</w:t>
      </w:r>
      <w:r>
        <w:rPr>
          <w:rFonts w:ascii="Times New Roman" w:hAnsi="仿宋_GB2312" w:eastAsia="仿宋_GB2312"/>
          <w:sz w:val="32"/>
          <w:szCs w:val="32"/>
          <w:lang w:eastAsia="zh-CN"/>
        </w:rPr>
        <w:t>万元</w:t>
      </w:r>
      <w:r>
        <w:rPr>
          <w:rFonts w:ascii="Times New Roman" w:eastAsia="仿宋_GB2312"/>
          <w:sz w:val="32"/>
          <w:szCs w:val="32"/>
          <w:lang w:eastAsia="zh-CN"/>
        </w:rPr>
        <w:t>，实际支出</w:t>
      </w:r>
      <w:r>
        <w:rPr>
          <w:rFonts w:ascii="Times New Roman" w:hAnsi="Times New Roman" w:eastAsia="仿宋_GB2312"/>
          <w:sz w:val="32"/>
          <w:szCs w:val="32"/>
          <w:lang w:eastAsia="zh-CN"/>
        </w:rPr>
        <w:t>97.614</w:t>
      </w:r>
      <w:r>
        <w:rPr>
          <w:rFonts w:ascii="Times New Roman" w:eastAsia="仿宋_GB2312"/>
          <w:sz w:val="32"/>
          <w:szCs w:val="32"/>
          <w:lang w:eastAsia="zh-CN"/>
        </w:rPr>
        <w:t>万元，资金使用率</w:t>
      </w:r>
      <w:r>
        <w:rPr>
          <w:rFonts w:ascii="Times New Roman" w:hAnsi="Times New Roman" w:eastAsia="仿宋_GB2312"/>
          <w:sz w:val="32"/>
          <w:szCs w:val="32"/>
          <w:lang w:eastAsia="zh-CN"/>
        </w:rPr>
        <w:t>100%</w:t>
      </w:r>
      <w:r>
        <w:rPr>
          <w:rFonts w:ascii="Times New Roman" w:eastAsia="仿宋_GB2312"/>
          <w:sz w:val="32"/>
          <w:szCs w:val="32"/>
          <w:lang w:eastAsia="zh-CN"/>
        </w:rPr>
        <w:t>。该项目资金拨付程序规范，资金到位及时，项目执行过程中严格执行《行政单位会计制度》《福建省行政事业单位财务报销审批手续的若干规定》等规章制度。资金使用合法、合规，单位实行专款专用。会计核算做</w:t>
      </w:r>
      <w:r>
        <w:rPr>
          <w:rFonts w:ascii="Times New Roman" w:eastAsia="仿宋_GB2312"/>
          <w:spacing w:val="6"/>
          <w:sz w:val="32"/>
          <w:szCs w:val="32"/>
          <w:lang w:eastAsia="zh-CN"/>
        </w:rPr>
        <w:t>到真实、完整、及时，支出审批程序严谨，</w:t>
      </w:r>
      <w:r>
        <w:rPr>
          <w:rFonts w:ascii="Times New Roman" w:eastAsia="仿宋_GB2312"/>
          <w:sz w:val="32"/>
          <w:szCs w:val="32"/>
          <w:lang w:eastAsia="zh-CN"/>
        </w:rPr>
        <w:t>按办公室工作管理流程由数字办提出工作经费支付申请，报经分管领导审查，财务部门审核，报单位负责人审批同意后支付。</w:t>
      </w:r>
      <w:r>
        <w:rPr>
          <w:rFonts w:ascii="Times New Roman" w:eastAsia="仿宋_GB2312"/>
          <w:spacing w:val="6"/>
          <w:sz w:val="32"/>
          <w:szCs w:val="32"/>
          <w:lang w:eastAsia="zh-CN"/>
        </w:rPr>
        <w:t>经费支出与预算批</w:t>
      </w:r>
      <w:r>
        <w:rPr>
          <w:rFonts w:ascii="Times New Roman" w:eastAsia="仿宋_GB2312"/>
          <w:sz w:val="32"/>
          <w:szCs w:val="32"/>
          <w:lang w:eastAsia="zh-CN"/>
        </w:rPr>
        <w:t>复用途相符，</w:t>
      </w:r>
      <w:r>
        <w:rPr>
          <w:rFonts w:ascii="Times New Roman" w:eastAsia="仿宋_GB2312"/>
          <w:spacing w:val="6"/>
          <w:sz w:val="32"/>
          <w:szCs w:val="32"/>
          <w:lang w:eastAsia="zh-CN"/>
        </w:rPr>
        <w:t>符合国家财经法规和财务管理及项目资金管理等规定。</w:t>
      </w:r>
    </w:p>
    <w:p>
      <w:pPr>
        <w:spacing w:line="594" w:lineRule="exact"/>
        <w:jc w:val="both"/>
        <w:rPr>
          <w:rFonts w:ascii="Times New Roman" w:hAnsi="Times New Roman" w:eastAsia="黑体"/>
          <w:sz w:val="32"/>
          <w:szCs w:val="32"/>
          <w:lang w:eastAsia="zh-CN"/>
        </w:rPr>
      </w:pPr>
      <w:r>
        <w:rPr>
          <w:rFonts w:ascii="Times New Roman" w:hAnsi="Times New Roman" w:eastAsia="黑体"/>
          <w:b/>
          <w:sz w:val="32"/>
          <w:szCs w:val="32"/>
          <w:lang w:eastAsia="zh-CN"/>
        </w:rPr>
        <w:t>　　</w:t>
      </w:r>
      <w:r>
        <w:rPr>
          <w:rFonts w:ascii="Times New Roman" w:hAnsi="Times New Roman" w:eastAsia="黑体"/>
          <w:sz w:val="32"/>
          <w:szCs w:val="32"/>
          <w:lang w:eastAsia="zh-CN"/>
        </w:rPr>
        <w:t>三、专项支出项目绩效分析</w:t>
      </w:r>
    </w:p>
    <w:p>
      <w:pPr>
        <w:widowControl w:val="0"/>
        <w:spacing w:line="594" w:lineRule="exact"/>
        <w:ind w:left="640"/>
        <w:jc w:val="both"/>
        <w:rPr>
          <w:rFonts w:ascii="楷体_GB2312" w:hAnsi="Times New Roman" w:eastAsia="楷体_GB2312"/>
          <w:sz w:val="32"/>
          <w:szCs w:val="32"/>
          <w:lang w:eastAsia="zh-CN"/>
        </w:rPr>
      </w:pPr>
      <w:r>
        <w:rPr>
          <w:rFonts w:ascii="楷体_GB2312" w:hAnsi="Times New Roman" w:eastAsia="楷体_GB2312"/>
          <w:sz w:val="32"/>
          <w:szCs w:val="32"/>
          <w:lang w:eastAsia="zh-CN"/>
        </w:rPr>
        <w:t>（一）项目绩效评价工作开展情况</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23个三级指标，总分值100分。</w:t>
      </w:r>
      <w:r>
        <w:rPr>
          <w:rFonts w:ascii="Times New Roman" w:eastAsia="仿宋_GB2312"/>
          <w:sz w:val="32"/>
          <w:szCs w:val="32"/>
          <w:lang w:eastAsia="zh-CN"/>
        </w:rPr>
        <w:t>对</w:t>
      </w:r>
      <w:r>
        <w:rPr>
          <w:rFonts w:ascii="Times New Roman" w:hAnsi="仿宋_GB2312" w:eastAsia="仿宋_GB2312"/>
          <w:sz w:val="32"/>
          <w:szCs w:val="32"/>
          <w:lang w:eastAsia="zh-CN"/>
        </w:rPr>
        <w:t>龙岩市全流程网上办事统一平台漳平市开发部署经费</w:t>
      </w:r>
      <w:r>
        <w:rPr>
          <w:rFonts w:ascii="Times New Roman" w:eastAsia="仿宋_GB2312"/>
          <w:sz w:val="32"/>
          <w:szCs w:val="32"/>
          <w:lang w:eastAsia="zh-CN"/>
        </w:rPr>
        <w:t>实施情况，经过收集资料，核实情况，向服务对象询问满意度，核实项目目标完成情况。</w:t>
      </w:r>
      <w:r>
        <w:rPr>
          <w:rFonts w:ascii="Times New Roman" w:hAnsi="Times New Roman" w:eastAsia="仿宋_GB2312"/>
          <w:sz w:val="32"/>
          <w:szCs w:val="32"/>
          <w:lang w:eastAsia="zh-CN"/>
        </w:rPr>
        <w:t>对照项目绩效自评指标体系，对各项指标进行分析评分，自评100分，自评等级优秀(项目的具体得分情况详见自评表)。</w:t>
      </w:r>
    </w:p>
    <w:p>
      <w:pPr>
        <w:widowControl w:val="0"/>
        <w:spacing w:line="594" w:lineRule="exact"/>
        <w:ind w:left="64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项目绩效目标完成情况</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w:t>
      </w:r>
      <w:r>
        <w:rPr>
          <w:rFonts w:ascii="Times New Roman" w:eastAsia="仿宋_GB2312"/>
          <w:spacing w:val="6"/>
          <w:sz w:val="32"/>
          <w:szCs w:val="32"/>
          <w:lang w:eastAsia="zh-CN"/>
        </w:rPr>
        <w:t>服务</w:t>
      </w:r>
      <w:r>
        <w:rPr>
          <w:rFonts w:ascii="Times New Roman" w:hAnsi="Times New Roman" w:eastAsia="仿宋_GB2312"/>
          <w:spacing w:val="6"/>
          <w:sz w:val="32"/>
          <w:szCs w:val="32"/>
          <w:lang w:eastAsia="zh-CN"/>
        </w:rPr>
        <w:t>”</w:t>
      </w:r>
      <w:r>
        <w:rPr>
          <w:rFonts w:ascii="Times New Roman" w:eastAsia="仿宋_GB2312"/>
          <w:spacing w:val="6"/>
          <w:sz w:val="32"/>
          <w:szCs w:val="32"/>
          <w:lang w:eastAsia="zh-CN"/>
        </w:rPr>
        <w:t>工作，认真贯彻落实中央八项规定，进一步规范专项资金</w:t>
      </w:r>
      <w:r>
        <w:rPr>
          <w:rFonts w:ascii="Times New Roman" w:eastAsia="仿宋_GB2312"/>
          <w:sz w:val="32"/>
          <w:szCs w:val="32"/>
          <w:lang w:eastAsia="zh-CN"/>
        </w:rPr>
        <w:t>管理制度。投入目标类的时效目标资金下达及时完成；成本目标支出资金总额为</w:t>
      </w:r>
      <w:r>
        <w:rPr>
          <w:rFonts w:ascii="Times New Roman" w:hAnsi="Times New Roman" w:eastAsia="仿宋_GB2312"/>
          <w:sz w:val="32"/>
          <w:szCs w:val="32"/>
          <w:lang w:eastAsia="zh-CN"/>
        </w:rPr>
        <w:t>97.614</w:t>
      </w:r>
      <w:r>
        <w:rPr>
          <w:rFonts w:ascii="Times New Roman" w:eastAsia="仿宋_GB2312"/>
          <w:sz w:val="32"/>
          <w:szCs w:val="32"/>
          <w:lang w:eastAsia="zh-CN"/>
        </w:rPr>
        <w:t>万元。产出目标类的数量目标购买平台软件</w:t>
      </w:r>
      <w:r>
        <w:rPr>
          <w:rFonts w:ascii="Times New Roman" w:hAnsi="Times New Roman" w:eastAsia="仿宋_GB2312"/>
          <w:sz w:val="32"/>
          <w:szCs w:val="32"/>
          <w:lang w:eastAsia="zh-CN"/>
        </w:rPr>
        <w:t>1</w:t>
      </w:r>
      <w:r>
        <w:rPr>
          <w:rFonts w:ascii="Times New Roman" w:eastAsia="仿宋_GB2312"/>
          <w:sz w:val="32"/>
          <w:szCs w:val="32"/>
          <w:lang w:eastAsia="zh-CN"/>
        </w:rPr>
        <w:t>套，设备</w:t>
      </w:r>
      <w:r>
        <w:rPr>
          <w:rFonts w:ascii="Times New Roman" w:hAnsi="Times New Roman" w:eastAsia="仿宋_GB2312"/>
          <w:sz w:val="32"/>
          <w:szCs w:val="32"/>
          <w:lang w:eastAsia="zh-CN"/>
        </w:rPr>
        <w:t>262</w:t>
      </w:r>
      <w:r>
        <w:rPr>
          <w:rFonts w:ascii="Times New Roman" w:eastAsia="仿宋_GB2312"/>
          <w:sz w:val="32"/>
          <w:szCs w:val="32"/>
          <w:lang w:eastAsia="zh-CN"/>
        </w:rPr>
        <w:t>台；质量目标的保障龙岩市全流程网上办事统一平台正常运行，顺畅办理业务；效益目标类的社会效益目标简化行政审批流程，提高行政审批时效；可持续影响目标行政审批工作持续顺畅开展，完成一站式服务；服务对象满意目标办事群众满意。</w:t>
      </w:r>
    </w:p>
    <w:p>
      <w:pPr>
        <w:widowControl w:val="0"/>
        <w:spacing w:line="594" w:lineRule="exact"/>
        <w:ind w:left="64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（三）</w:t>
      </w:r>
      <w:r>
        <w:rPr>
          <w:rFonts w:ascii="楷体_GB2312" w:hAnsi="Times New Roman" w:eastAsia="楷体_GB2312"/>
          <w:sz w:val="32"/>
          <w:szCs w:val="32"/>
          <w:lang w:eastAsia="zh-CN"/>
        </w:rPr>
        <w:t>项目绩效分析</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本次评价按相关规定和要求在开展自评的基础上，结合现场核查情况等进行综合打分，政府办</w:t>
      </w:r>
      <w:r>
        <w:rPr>
          <w:rFonts w:ascii="Times New Roman" w:hAnsi="仿宋_GB2312" w:eastAsia="仿宋_GB2312"/>
          <w:sz w:val="32"/>
          <w:szCs w:val="32"/>
          <w:lang w:eastAsia="zh-CN"/>
        </w:rPr>
        <w:t>龙岩市全流程网上办事统一平台漳平市开发部署经费</w:t>
      </w:r>
      <w:r>
        <w:rPr>
          <w:rFonts w:ascii="Times New Roman" w:eastAsia="仿宋_GB2312"/>
          <w:sz w:val="32"/>
          <w:szCs w:val="32"/>
          <w:lang w:eastAsia="zh-CN"/>
        </w:rPr>
        <w:t>支出绩效评价结果最终得分为</w:t>
      </w:r>
      <w:r>
        <w:rPr>
          <w:rFonts w:ascii="Times New Roman" w:hAnsi="Times New Roman" w:eastAsia="仿宋_GB2312"/>
          <w:sz w:val="32"/>
          <w:szCs w:val="32"/>
          <w:lang w:eastAsia="zh-CN"/>
        </w:rPr>
        <w:t>100</w:t>
      </w:r>
      <w:r>
        <w:rPr>
          <w:rFonts w:ascii="Times New Roman" w:eastAsia="仿宋_GB2312"/>
          <w:sz w:val="32"/>
          <w:szCs w:val="32"/>
          <w:lang w:eastAsia="zh-CN"/>
        </w:rPr>
        <w:t>分，各指标得分情况分析如下：</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w:t>
      </w:r>
      <w:r>
        <w:rPr>
          <w:rFonts w:ascii="Times New Roman" w:eastAsia="仿宋_GB2312"/>
          <w:sz w:val="32"/>
          <w:szCs w:val="32"/>
          <w:lang w:eastAsia="zh-CN"/>
        </w:rPr>
        <w:t>．</w:t>
      </w:r>
      <w:r>
        <w:rPr>
          <w:rFonts w:ascii="Times New Roman" w:eastAsia="仿宋_GB2312"/>
          <w:spacing w:val="-6"/>
          <w:sz w:val="32"/>
          <w:szCs w:val="32"/>
          <w:lang w:eastAsia="zh-CN"/>
        </w:rPr>
        <w:t>项目投入类指标</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分，得分</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分。其中：时效情况实际实施月份按计划月份完成得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分；项目立项得</w:t>
      </w:r>
      <w:r>
        <w:rPr>
          <w:rFonts w:ascii="Times New Roman" w:hAnsi="Times New Roman" w:eastAsia="仿宋_GB2312"/>
          <w:sz w:val="32"/>
          <w:szCs w:val="32"/>
          <w:lang w:eastAsia="zh-CN"/>
        </w:rPr>
        <w:t>16</w:t>
      </w:r>
      <w:r>
        <w:rPr>
          <w:rFonts w:ascii="Times New Roman" w:eastAsia="仿宋_GB2312"/>
          <w:sz w:val="32"/>
          <w:szCs w:val="32"/>
          <w:lang w:eastAsia="zh-CN"/>
        </w:rPr>
        <w:t>分，其中：绩效目标合理性完成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分，绩效指标明确性完成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分，绩效指标完成率完成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分，项目立项规范性完成</w:t>
      </w:r>
      <w:r>
        <w:rPr>
          <w:rFonts w:ascii="Times New Roman" w:eastAsia="仿宋_GB2312"/>
          <w:spacing w:val="-6"/>
          <w:sz w:val="32"/>
          <w:szCs w:val="32"/>
          <w:lang w:eastAsia="zh-CN"/>
        </w:rPr>
        <w:t>得</w:t>
      </w:r>
      <w:r>
        <w:rPr>
          <w:rFonts w:ascii="Times New Roman" w:hAnsi="Times New Roman" w:eastAsia="仿宋_GB2312"/>
          <w:spacing w:val="-6"/>
          <w:sz w:val="32"/>
          <w:szCs w:val="32"/>
          <w:lang w:eastAsia="zh-CN"/>
        </w:rPr>
        <w:t>4</w:t>
      </w:r>
      <w:r>
        <w:rPr>
          <w:rFonts w:ascii="Times New Roman" w:eastAsia="仿宋_GB2312"/>
          <w:sz w:val="32"/>
          <w:szCs w:val="32"/>
          <w:lang w:eastAsia="zh-CN"/>
        </w:rPr>
        <w:t>分；资金落实得</w:t>
      </w:r>
      <w:r>
        <w:rPr>
          <w:rFonts w:ascii="Times New Roman" w:hAnsi="Times New Roman" w:eastAsia="仿宋_GB2312"/>
          <w:sz w:val="32"/>
          <w:szCs w:val="32"/>
          <w:lang w:eastAsia="zh-CN"/>
        </w:rPr>
        <w:t>10</w:t>
      </w:r>
      <w:r>
        <w:rPr>
          <w:rFonts w:ascii="Times New Roman" w:eastAsia="仿宋_GB2312"/>
          <w:sz w:val="32"/>
          <w:szCs w:val="32"/>
          <w:lang w:eastAsia="zh-CN"/>
        </w:rPr>
        <w:t>分，其中：成本控制率完成得</w:t>
      </w:r>
      <w:r>
        <w:rPr>
          <w:rFonts w:ascii="Times New Roman" w:hAnsi="Times New Roman" w:eastAsia="仿宋_GB2312"/>
          <w:sz w:val="32"/>
          <w:szCs w:val="32"/>
          <w:lang w:eastAsia="zh-CN"/>
        </w:rPr>
        <w:t>4</w:t>
      </w:r>
      <w:r>
        <w:rPr>
          <w:rFonts w:ascii="Times New Roman" w:eastAsia="仿宋_GB2312"/>
          <w:sz w:val="32"/>
          <w:szCs w:val="32"/>
          <w:lang w:eastAsia="zh-CN"/>
        </w:rPr>
        <w:t>分，资金使用率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分，资金到位率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w:t>
      </w:r>
      <w:r>
        <w:rPr>
          <w:rFonts w:ascii="Times New Roman" w:eastAsia="仿宋_GB2312"/>
          <w:sz w:val="32"/>
          <w:szCs w:val="32"/>
          <w:lang w:eastAsia="zh-CN"/>
        </w:rPr>
        <w:t>．</w:t>
      </w:r>
      <w:r>
        <w:rPr>
          <w:rFonts w:ascii="Times New Roman" w:eastAsia="仿宋_GB2312"/>
          <w:spacing w:val="-6"/>
          <w:sz w:val="32"/>
          <w:szCs w:val="32"/>
          <w:lang w:eastAsia="zh-CN"/>
        </w:rPr>
        <w:t>项目过程类指标</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分，得分</w:t>
      </w:r>
      <w:r>
        <w:rPr>
          <w:rFonts w:ascii="Times New Roman" w:hAnsi="Times New Roman" w:eastAsia="仿宋_GB2312"/>
          <w:spacing w:val="-6"/>
          <w:sz w:val="32"/>
          <w:szCs w:val="32"/>
          <w:lang w:eastAsia="zh-CN"/>
        </w:rPr>
        <w:t>30</w:t>
      </w:r>
      <w:r>
        <w:rPr>
          <w:rFonts w:ascii="Times New Roman" w:eastAsia="仿宋_GB2312"/>
          <w:spacing w:val="-6"/>
          <w:sz w:val="32"/>
          <w:szCs w:val="32"/>
          <w:lang w:eastAsia="zh-CN"/>
        </w:rPr>
        <w:t>分。其中：业务管理得</w:t>
      </w:r>
      <w:r>
        <w:rPr>
          <w:rFonts w:ascii="Times New Roman" w:hAnsi="Times New Roman" w:eastAsia="仿宋_GB2312"/>
          <w:spacing w:val="-6"/>
          <w:sz w:val="32"/>
          <w:szCs w:val="32"/>
          <w:lang w:eastAsia="zh-CN"/>
        </w:rPr>
        <w:t>9</w:t>
      </w:r>
      <w:r>
        <w:rPr>
          <w:rFonts w:ascii="Times New Roman" w:eastAsia="仿宋_GB2312"/>
          <w:sz w:val="32"/>
          <w:szCs w:val="32"/>
          <w:lang w:eastAsia="zh-CN"/>
        </w:rPr>
        <w:t>分，其中：制定合法、合规、完整的业务管理制度得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分，执行合法、合规、完整的业务管理制度得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分，制定了相应的项目质量要求或标准得</w:t>
      </w:r>
      <w:r>
        <w:rPr>
          <w:rFonts w:ascii="Times New Roman" w:hAnsi="Times New Roman" w:eastAsia="仿宋_GB2312"/>
          <w:sz w:val="32"/>
          <w:szCs w:val="32"/>
          <w:lang w:eastAsia="zh-CN"/>
        </w:rPr>
        <w:t>3</w:t>
      </w:r>
      <w:r>
        <w:rPr>
          <w:rFonts w:ascii="Times New Roman" w:eastAsia="仿宋_GB2312"/>
          <w:sz w:val="32"/>
          <w:szCs w:val="32"/>
          <w:lang w:eastAsia="zh-CN"/>
        </w:rPr>
        <w:t>分；使用管理得</w:t>
      </w:r>
      <w:r>
        <w:rPr>
          <w:rFonts w:ascii="Times New Roman" w:hAnsi="Times New Roman" w:eastAsia="仿宋_GB2312"/>
          <w:sz w:val="32"/>
          <w:szCs w:val="32"/>
          <w:lang w:eastAsia="zh-CN"/>
        </w:rPr>
        <w:t>21</w:t>
      </w:r>
      <w:r>
        <w:rPr>
          <w:rFonts w:ascii="Times New Roman" w:eastAsia="仿宋_GB2312"/>
          <w:sz w:val="32"/>
          <w:szCs w:val="32"/>
          <w:lang w:eastAsia="zh-CN"/>
        </w:rPr>
        <w:t>分，其中：财务管理制度健全性得</w:t>
      </w:r>
      <w:r>
        <w:rPr>
          <w:rFonts w:ascii="Times New Roman" w:hAnsi="Times New Roman" w:eastAsia="仿宋_GB2312"/>
          <w:sz w:val="32"/>
          <w:szCs w:val="32"/>
          <w:lang w:eastAsia="zh-CN"/>
        </w:rPr>
        <w:t>3</w:t>
      </w:r>
      <w:r>
        <w:rPr>
          <w:rFonts w:ascii="Times New Roman" w:eastAsia="仿宋_GB2312"/>
          <w:sz w:val="32"/>
          <w:szCs w:val="32"/>
          <w:lang w:eastAsia="zh-CN"/>
        </w:rPr>
        <w:t>分，资金使用合规性得</w:t>
      </w:r>
      <w:r>
        <w:rPr>
          <w:rFonts w:ascii="Times New Roman" w:hAnsi="Times New Roman" w:eastAsia="仿宋_GB2312"/>
          <w:sz w:val="32"/>
          <w:szCs w:val="32"/>
          <w:lang w:eastAsia="zh-CN"/>
        </w:rPr>
        <w:t>3</w:t>
      </w:r>
      <w:r>
        <w:rPr>
          <w:rFonts w:ascii="Times New Roman" w:eastAsia="仿宋_GB2312"/>
          <w:sz w:val="32"/>
          <w:szCs w:val="32"/>
          <w:lang w:eastAsia="zh-CN"/>
        </w:rPr>
        <w:t>分，项目资金安全性得</w:t>
      </w:r>
      <w:r>
        <w:rPr>
          <w:rFonts w:ascii="Times New Roman" w:hAnsi="Times New Roman" w:eastAsia="仿宋_GB2312"/>
          <w:sz w:val="32"/>
          <w:szCs w:val="32"/>
          <w:lang w:eastAsia="zh-CN"/>
        </w:rPr>
        <w:t>3</w:t>
      </w:r>
      <w:r>
        <w:rPr>
          <w:rFonts w:ascii="Times New Roman" w:eastAsia="仿宋_GB2312"/>
          <w:sz w:val="32"/>
          <w:szCs w:val="32"/>
          <w:lang w:eastAsia="zh-CN"/>
        </w:rPr>
        <w:t>分，信息规范性得</w:t>
      </w:r>
      <w:r>
        <w:rPr>
          <w:rFonts w:ascii="Times New Roman" w:hAnsi="Times New Roman" w:eastAsia="仿宋_GB2312"/>
          <w:sz w:val="32"/>
          <w:szCs w:val="32"/>
          <w:lang w:eastAsia="zh-CN"/>
        </w:rPr>
        <w:t>3</w:t>
      </w:r>
      <w:r>
        <w:rPr>
          <w:rFonts w:ascii="Times New Roman" w:eastAsia="仿宋_GB2312"/>
          <w:sz w:val="32"/>
          <w:szCs w:val="32"/>
          <w:lang w:eastAsia="zh-CN"/>
        </w:rPr>
        <w:t>分，信息完整性得</w:t>
      </w:r>
      <w:r>
        <w:rPr>
          <w:rFonts w:ascii="Times New Roman" w:hAnsi="Times New Roman" w:eastAsia="仿宋_GB2312"/>
          <w:sz w:val="32"/>
          <w:szCs w:val="32"/>
          <w:lang w:eastAsia="zh-CN"/>
        </w:rPr>
        <w:t>3</w:t>
      </w:r>
      <w:r>
        <w:rPr>
          <w:rFonts w:ascii="Times New Roman" w:eastAsia="仿宋_GB2312"/>
          <w:sz w:val="32"/>
          <w:szCs w:val="32"/>
          <w:lang w:eastAsia="zh-CN"/>
        </w:rPr>
        <w:t>分，固定资产利用率得</w:t>
      </w:r>
      <w:r>
        <w:rPr>
          <w:rFonts w:ascii="Times New Roman" w:hAnsi="Times New Roman" w:eastAsia="仿宋_GB2312"/>
          <w:sz w:val="32"/>
          <w:szCs w:val="32"/>
          <w:lang w:eastAsia="zh-CN"/>
        </w:rPr>
        <w:t>3</w:t>
      </w:r>
      <w:r>
        <w:rPr>
          <w:rFonts w:ascii="Times New Roman" w:eastAsia="仿宋_GB2312"/>
          <w:sz w:val="32"/>
          <w:szCs w:val="32"/>
          <w:lang w:eastAsia="zh-CN"/>
        </w:rPr>
        <w:t>分，固定资产专人管理情况得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3</w:t>
      </w:r>
      <w:r>
        <w:rPr>
          <w:rFonts w:ascii="Times New Roman" w:eastAsia="仿宋_GB2312"/>
          <w:sz w:val="32"/>
          <w:szCs w:val="32"/>
          <w:lang w:eastAsia="zh-CN"/>
        </w:rPr>
        <w:t>．产出与效益类指标</w:t>
      </w:r>
      <w:r>
        <w:rPr>
          <w:rFonts w:ascii="Times New Roman" w:hAnsi="Times New Roman" w:eastAsia="仿宋_GB2312"/>
          <w:sz w:val="32"/>
          <w:szCs w:val="32"/>
          <w:lang w:eastAsia="zh-CN"/>
        </w:rPr>
        <w:t>40</w:t>
      </w:r>
      <w:r>
        <w:rPr>
          <w:rFonts w:ascii="Times New Roman" w:eastAsia="仿宋_GB2312"/>
          <w:sz w:val="32"/>
          <w:szCs w:val="32"/>
          <w:lang w:eastAsia="zh-CN"/>
        </w:rPr>
        <w:t>分，得分</w:t>
      </w:r>
      <w:r>
        <w:rPr>
          <w:rFonts w:ascii="Times New Roman" w:hAnsi="Times New Roman" w:eastAsia="仿宋_GB2312"/>
          <w:sz w:val="32"/>
          <w:szCs w:val="32"/>
          <w:lang w:eastAsia="zh-CN"/>
        </w:rPr>
        <w:t>40</w:t>
      </w:r>
      <w:r>
        <w:rPr>
          <w:rFonts w:ascii="Times New Roman" w:eastAsia="仿宋_GB2312"/>
          <w:sz w:val="32"/>
          <w:szCs w:val="32"/>
          <w:lang w:eastAsia="zh-CN"/>
        </w:rPr>
        <w:t>分。其中产出数量购买软件</w:t>
      </w:r>
      <w:r>
        <w:rPr>
          <w:rFonts w:ascii="Times New Roman" w:hAnsi="Times New Roman" w:eastAsia="仿宋_GB2312"/>
          <w:sz w:val="32"/>
          <w:szCs w:val="32"/>
          <w:lang w:eastAsia="zh-CN"/>
        </w:rPr>
        <w:t>1</w:t>
      </w:r>
      <w:r>
        <w:rPr>
          <w:rFonts w:ascii="Times New Roman" w:eastAsia="仿宋_GB2312"/>
          <w:sz w:val="32"/>
          <w:szCs w:val="32"/>
          <w:lang w:eastAsia="zh-CN"/>
        </w:rPr>
        <w:t>套、设备</w:t>
      </w:r>
      <w:r>
        <w:rPr>
          <w:rFonts w:ascii="Times New Roman" w:hAnsi="Times New Roman" w:eastAsia="仿宋_GB2312"/>
          <w:sz w:val="32"/>
          <w:szCs w:val="32"/>
          <w:lang w:eastAsia="zh-CN"/>
        </w:rPr>
        <w:t>262</w:t>
      </w:r>
      <w:r>
        <w:rPr>
          <w:rFonts w:ascii="Times New Roman" w:eastAsia="仿宋_GB2312"/>
          <w:sz w:val="32"/>
          <w:szCs w:val="32"/>
          <w:lang w:eastAsia="zh-CN"/>
        </w:rPr>
        <w:t>台，保质保量完成全流程网上办事统一平台建设得得</w:t>
      </w:r>
      <w:r>
        <w:rPr>
          <w:rFonts w:ascii="Times New Roman" w:hAnsi="Times New Roman" w:eastAsia="仿宋_GB2312"/>
          <w:sz w:val="32"/>
          <w:szCs w:val="32"/>
          <w:lang w:eastAsia="zh-CN"/>
        </w:rPr>
        <w:t>8</w:t>
      </w:r>
      <w:r>
        <w:rPr>
          <w:rFonts w:ascii="Times New Roman" w:eastAsia="仿宋_GB2312"/>
          <w:sz w:val="32"/>
          <w:szCs w:val="32"/>
          <w:lang w:eastAsia="zh-CN"/>
        </w:rPr>
        <w:t>分，产出质量办事统一平台能够正常、顺畅办理业务得</w:t>
      </w:r>
      <w:r>
        <w:rPr>
          <w:rFonts w:ascii="Times New Roman" w:hAnsi="Times New Roman" w:eastAsia="仿宋_GB2312"/>
          <w:sz w:val="32"/>
          <w:szCs w:val="32"/>
          <w:lang w:eastAsia="zh-CN"/>
        </w:rPr>
        <w:t>8</w:t>
      </w:r>
      <w:r>
        <w:rPr>
          <w:rFonts w:ascii="Times New Roman" w:eastAsia="仿宋_GB2312"/>
          <w:sz w:val="32"/>
          <w:szCs w:val="32"/>
          <w:lang w:eastAsia="zh-CN"/>
        </w:rPr>
        <w:t>分，社会效益确实提高行政审批时效</w:t>
      </w:r>
      <w:r>
        <w:rPr>
          <w:rFonts w:ascii="Times New Roman" w:hAnsi="Times New Roman" w:eastAsia="仿宋_GB2312"/>
          <w:sz w:val="32"/>
          <w:szCs w:val="32"/>
          <w:lang w:eastAsia="zh-CN"/>
        </w:rPr>
        <w:t>8</w:t>
      </w:r>
      <w:r>
        <w:rPr>
          <w:rFonts w:ascii="Times New Roman" w:eastAsia="仿宋_GB2312"/>
          <w:sz w:val="32"/>
          <w:szCs w:val="32"/>
          <w:lang w:eastAsia="zh-CN"/>
        </w:rPr>
        <w:t>分，可持续效益完成一站式服务</w:t>
      </w:r>
      <w:r>
        <w:rPr>
          <w:rFonts w:ascii="Times New Roman" w:hAnsi="Times New Roman" w:eastAsia="仿宋_GB2312"/>
          <w:sz w:val="32"/>
          <w:szCs w:val="32"/>
          <w:lang w:eastAsia="zh-CN"/>
        </w:rPr>
        <w:t>8</w:t>
      </w:r>
      <w:r>
        <w:rPr>
          <w:rFonts w:ascii="Times New Roman" w:eastAsia="仿宋_GB2312"/>
          <w:sz w:val="32"/>
          <w:szCs w:val="32"/>
          <w:lang w:eastAsia="zh-CN"/>
        </w:rPr>
        <w:t>分，服务对象满意度办事群众满意得</w:t>
      </w:r>
      <w:r>
        <w:rPr>
          <w:rFonts w:ascii="Times New Roman" w:hAnsi="Times New Roman" w:eastAsia="仿宋_GB2312"/>
          <w:sz w:val="32"/>
          <w:szCs w:val="32"/>
          <w:lang w:eastAsia="zh-CN"/>
        </w:rPr>
        <w:t>8</w:t>
      </w:r>
      <w:r>
        <w:rPr>
          <w:rFonts w:ascii="Times New Roman" w:eastAsia="仿宋_GB2312"/>
          <w:sz w:val="32"/>
          <w:szCs w:val="32"/>
          <w:lang w:eastAsia="zh-CN"/>
        </w:rPr>
        <w:t>分。</w:t>
      </w:r>
    </w:p>
    <w:p>
      <w:pPr>
        <w:spacing w:line="594" w:lineRule="exact"/>
        <w:jc w:val="both"/>
        <w:rPr>
          <w:rFonts w:ascii="Times New Roman" w:hAnsi="Times New Roman" w:eastAsia="仿宋"/>
          <w:sz w:val="32"/>
          <w:szCs w:val="32"/>
          <w:lang w:eastAsia="zh-CN"/>
        </w:rPr>
      </w:pPr>
      <w:r>
        <w:rPr>
          <w:rFonts w:ascii="Times New Roman" w:hAnsi="Times New Roman" w:eastAsia="黑体"/>
          <w:sz w:val="32"/>
          <w:szCs w:val="32"/>
          <w:lang w:eastAsia="zh-CN"/>
        </w:rPr>
        <w:t>　　四、工作成效</w:t>
      </w:r>
    </w:p>
    <w:p>
      <w:pPr>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项目资金按照专项资金管理办法，合理合规使用，投入项目建设，龙岩市全流程网上办事统一平台的建设，简化行政审批流程，使得行政审批工作持续顺畅开展，完成一站式服务，降低了行政运行成本，提高政府效率，提升行政职能，为群众营造更好的办事环境。</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五、项目存在的问题和改进措施</w:t>
      </w:r>
    </w:p>
    <w:p>
      <w:pPr>
        <w:spacing w:line="594" w:lineRule="exact"/>
        <w:ind w:firstLine="640" w:firstLineChars="200"/>
        <w:jc w:val="both"/>
        <w:rPr>
          <w:rFonts w:ascii="楷体_GB2312" w:hAnsi="Times New Roman" w:eastAsia="楷体_GB2312"/>
          <w:sz w:val="32"/>
          <w:szCs w:val="32"/>
          <w:lang w:eastAsia="zh-CN"/>
        </w:rPr>
      </w:pPr>
      <w:r>
        <w:rPr>
          <w:rFonts w:ascii="楷体_GB2312" w:hAnsi="Times New Roman" w:eastAsia="楷体_GB2312"/>
          <w:sz w:val="32"/>
          <w:szCs w:val="32"/>
          <w:lang w:eastAsia="zh-CN"/>
        </w:rPr>
        <w:t>（一）项目存在的问题</w:t>
      </w:r>
    </w:p>
    <w:p>
      <w:pPr>
        <w:spacing w:line="594" w:lineRule="exact"/>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　　目前，项目还存在一些问题，主要有如下：</w:t>
      </w:r>
      <w:r>
        <w:rPr>
          <w:rFonts w:ascii="Times New Roman" w:hAnsi="Times New Roman" w:eastAsia="仿宋_GB2312"/>
          <w:sz w:val="32"/>
          <w:szCs w:val="32"/>
          <w:lang w:eastAsia="zh-CN"/>
        </w:rPr>
        <w:t>1</w:t>
      </w:r>
      <w:r>
        <w:rPr>
          <w:rFonts w:ascii="Times New Roman" w:hAnsi="仿宋_GB2312" w:eastAsia="仿宋_GB2312"/>
          <w:sz w:val="32"/>
          <w:szCs w:val="32"/>
          <w:lang w:eastAsia="zh-CN"/>
        </w:rPr>
        <w:t>、电子证照存量梳理困难；</w:t>
      </w:r>
      <w:r>
        <w:rPr>
          <w:rFonts w:ascii="Times New Roman" w:hAnsi="Times New Roman" w:eastAsia="仿宋_GB2312"/>
          <w:sz w:val="32"/>
          <w:szCs w:val="32"/>
          <w:lang w:eastAsia="zh-CN"/>
        </w:rPr>
        <w:t>2</w:t>
      </w:r>
      <w:r>
        <w:rPr>
          <w:rFonts w:ascii="Times New Roman" w:hAnsi="仿宋_GB2312" w:eastAsia="仿宋_GB2312"/>
          <w:sz w:val="32"/>
          <w:szCs w:val="32"/>
          <w:lang w:eastAsia="zh-CN"/>
        </w:rPr>
        <w:t>、全流程网上办事宣传工作不足。</w:t>
      </w:r>
    </w:p>
    <w:p>
      <w:pPr>
        <w:widowControl w:val="0"/>
        <w:numPr>
          <w:ilvl w:val="0"/>
          <w:numId w:val="1"/>
        </w:numPr>
        <w:spacing w:line="594" w:lineRule="exact"/>
        <w:ind w:firstLine="640" w:firstLineChars="200"/>
        <w:jc w:val="both"/>
        <w:rPr>
          <w:rFonts w:ascii="楷体_GB2312" w:hAnsi="Times New Roman" w:eastAsia="楷体_GB2312"/>
          <w:sz w:val="32"/>
          <w:szCs w:val="32"/>
          <w:lang w:eastAsia="zh-CN"/>
        </w:rPr>
      </w:pPr>
      <w:r>
        <w:rPr>
          <w:rFonts w:ascii="楷体_GB2312" w:hAnsi="Times New Roman" w:eastAsia="楷体_GB2312"/>
          <w:sz w:val="32"/>
          <w:szCs w:val="32"/>
          <w:lang w:eastAsia="zh-CN"/>
        </w:rPr>
        <w:t>项目改进措施</w:t>
      </w:r>
    </w:p>
    <w:p>
      <w:pPr>
        <w:spacing w:line="594" w:lineRule="exact"/>
        <w:ind w:firstLine="660"/>
        <w:jc w:val="both"/>
        <w:rPr>
          <w:rFonts w:hint="eastAsia" w:ascii="Times New Roman" w:hAnsi="仿宋_GB2312" w:eastAsia="仿宋_GB2312"/>
          <w:sz w:val="32"/>
          <w:szCs w:val="32"/>
          <w:lang w:eastAsia="zh-CN"/>
        </w:rPr>
      </w:pPr>
      <w:r>
        <w:rPr>
          <w:rFonts w:ascii="Times New Roman" w:hAnsi="仿宋_GB2312" w:eastAsia="仿宋_GB2312"/>
          <w:sz w:val="32"/>
          <w:szCs w:val="32"/>
          <w:lang w:eastAsia="zh-CN"/>
        </w:rPr>
        <w:t>针对上述问题采取积极有效措施。</w:t>
      </w:r>
      <w:r>
        <w:rPr>
          <w:rFonts w:ascii="Times New Roman" w:hAnsi="Times New Roman" w:eastAsia="仿宋_GB2312"/>
          <w:sz w:val="32"/>
          <w:szCs w:val="32"/>
          <w:lang w:eastAsia="zh-CN"/>
        </w:rPr>
        <w:t>1</w:t>
      </w:r>
      <w:r>
        <w:rPr>
          <w:rFonts w:ascii="Times New Roman" w:hAnsi="仿宋_GB2312" w:eastAsia="仿宋_GB2312"/>
          <w:sz w:val="32"/>
          <w:szCs w:val="32"/>
          <w:lang w:eastAsia="zh-CN"/>
        </w:rPr>
        <w:t>、加强对各业务部门电子证照梳理培训工作，加快存量梳理；</w:t>
      </w:r>
      <w:r>
        <w:rPr>
          <w:rFonts w:ascii="Times New Roman" w:hAnsi="Times New Roman" w:eastAsia="仿宋_GB2312"/>
          <w:sz w:val="32"/>
          <w:szCs w:val="32"/>
          <w:lang w:eastAsia="zh-CN"/>
        </w:rPr>
        <w:t>2</w:t>
      </w:r>
      <w:r>
        <w:rPr>
          <w:rFonts w:ascii="Times New Roman" w:hAnsi="仿宋_GB2312" w:eastAsia="仿宋_GB2312"/>
          <w:sz w:val="32"/>
          <w:szCs w:val="32"/>
          <w:lang w:eastAsia="zh-CN"/>
        </w:rPr>
        <w:t>、充分利用行政服务中心窗口、政府网站、电视媒体等，加强宣传，鼓励群众通过网上办事业务。</w:t>
      </w:r>
    </w:p>
    <w:p>
      <w:pPr>
        <w:spacing w:line="594" w:lineRule="exact"/>
        <w:ind w:firstLine="660"/>
        <w:jc w:val="both"/>
        <w:rPr>
          <w:rFonts w:hint="eastAsia" w:ascii="黑体" w:hAnsi="黑体" w:eastAsia="黑体"/>
          <w:sz w:val="32"/>
          <w:szCs w:val="32"/>
          <w:lang w:eastAsia="zh-CN"/>
        </w:rPr>
      </w:pPr>
      <w:r>
        <w:rPr>
          <w:rFonts w:ascii="黑体" w:hAnsi="黑体" w:eastAsia="黑体"/>
          <w:sz w:val="32"/>
          <w:szCs w:val="32"/>
          <w:lang w:eastAsia="zh-CN"/>
        </w:rPr>
        <w:t>六、相关意见建议</w:t>
      </w:r>
    </w:p>
    <w:p>
      <w:pPr>
        <w:spacing w:line="594" w:lineRule="exact"/>
        <w:ind w:firstLine="660"/>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一是推进项目的日常管理，结合政府办具体业务，完善</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ind w:firstLine="640" w:firstLineChars="200"/>
        <w:rPr>
          <w:rFonts w:ascii="Times New Roman" w:hAnsi="Times New Roman" w:eastAsia="仿宋_GB2312"/>
          <w:sz w:val="32"/>
          <w:szCs w:val="32"/>
          <w:lang w:eastAsia="zh-CN"/>
        </w:rPr>
      </w:pPr>
    </w:p>
    <w:p>
      <w:pPr>
        <w:spacing w:line="594" w:lineRule="exact"/>
        <w:ind w:firstLine="640" w:firstLineChars="200"/>
        <w:rPr>
          <w:rFonts w:ascii="Times New Roman" w:hAnsi="Times New Roman" w:eastAsia="仿宋_GB2312"/>
          <w:sz w:val="32"/>
          <w:szCs w:val="32"/>
          <w:lang w:eastAsia="zh-CN"/>
        </w:rPr>
      </w:pPr>
    </w:p>
    <w:p>
      <w:pPr>
        <w:spacing w:line="594" w:lineRule="exact"/>
        <w:ind w:firstLine="640" w:firstLineChars="200"/>
        <w:rPr>
          <w:rFonts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ind w:firstLine="640" w:firstLineChars="200"/>
        <w:rPr>
          <w:rFonts w:hint="eastAsia" w:ascii="Times New Roman" w:hAnsi="Times New Roman" w:eastAsia="仿宋_GB2312"/>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龙岩市全流程网上办事统一平台漳平市开发部署经费</w:t>
      </w:r>
      <w:r>
        <w:rPr>
          <w:rFonts w:ascii="黑体" w:hAnsi="黑体" w:eastAsia="黑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300" w:lineRule="exact"/>
        <w:jc w:val="both"/>
        <w:rPr>
          <w:rFonts w:hint="eastAsia" w:ascii="黑体" w:hAnsi="黑体" w:eastAsia="黑体"/>
          <w:color w:val="000000"/>
          <w:sz w:val="32"/>
          <w:szCs w:val="32"/>
          <w:lang w:eastAsia="zh-CN"/>
        </w:rPr>
      </w:pPr>
    </w:p>
    <w:tbl>
      <w:tblPr>
        <w:tblStyle w:val="3"/>
        <w:tblW w:w="10675" w:type="dxa"/>
        <w:jc w:val="center"/>
        <w:tblInd w:w="-5" w:type="dxa"/>
        <w:tblLayout w:type="fixed"/>
        <w:tblCellMar>
          <w:top w:w="0" w:type="dxa"/>
          <w:left w:w="0" w:type="dxa"/>
          <w:bottom w:w="0" w:type="dxa"/>
          <w:right w:w="0" w:type="dxa"/>
        </w:tblCellMar>
      </w:tblPr>
      <w:tblGrid>
        <w:gridCol w:w="493"/>
        <w:gridCol w:w="342"/>
        <w:gridCol w:w="684"/>
        <w:gridCol w:w="333"/>
        <w:gridCol w:w="311"/>
        <w:gridCol w:w="1505"/>
        <w:gridCol w:w="816"/>
        <w:gridCol w:w="373"/>
        <w:gridCol w:w="1425"/>
        <w:gridCol w:w="1195"/>
        <w:gridCol w:w="1078"/>
        <w:gridCol w:w="1043"/>
        <w:gridCol w:w="1077"/>
      </w:tblGrid>
      <w:tr>
        <w:tblPrEx>
          <w:tblLayout w:type="fixed"/>
          <w:tblCellMar>
            <w:top w:w="0" w:type="dxa"/>
            <w:left w:w="0" w:type="dxa"/>
            <w:bottom w:w="0" w:type="dxa"/>
            <w:right w:w="0" w:type="dxa"/>
          </w:tblCellMar>
        </w:tblPrEx>
        <w:trPr>
          <w:trHeight w:val="284" w:hRule="atLeast"/>
          <w:jc w:val="center"/>
        </w:trPr>
        <w:tc>
          <w:tcPr>
            <w:tcW w:w="4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宋体" w:hAnsi="宋体" w:cs="宋体"/>
                <w:bCs/>
                <w:lang w:eastAsia="zh-CN" w:bidi="ar-SA"/>
              </w:rPr>
            </w:pPr>
            <w:r>
              <w:rPr>
                <w:rFonts w:hint="eastAsia" w:ascii="宋体" w:hAnsi="宋体" w:cs="宋体"/>
                <w:bCs/>
                <w:lang w:eastAsia="zh-CN" w:bidi="ar-SA"/>
              </w:rPr>
              <w:t>项</w:t>
            </w:r>
          </w:p>
          <w:p>
            <w:pPr>
              <w:spacing w:line="400" w:lineRule="exact"/>
              <w:jc w:val="center"/>
              <w:rPr>
                <w:rFonts w:hint="eastAsia" w:ascii="宋体" w:hAnsi="宋体" w:cs="宋体"/>
                <w:bCs/>
                <w:lang w:eastAsia="zh-CN" w:bidi="ar-SA"/>
              </w:rPr>
            </w:pPr>
            <w:r>
              <w:rPr>
                <w:rFonts w:hint="eastAsia" w:ascii="宋体" w:hAnsi="宋体" w:cs="宋体"/>
                <w:bCs/>
                <w:lang w:eastAsia="zh-CN" w:bidi="ar-SA"/>
              </w:rPr>
              <w:t>目</w:t>
            </w:r>
          </w:p>
          <w:p>
            <w:pPr>
              <w:spacing w:line="400" w:lineRule="exact"/>
              <w:jc w:val="center"/>
              <w:rPr>
                <w:rFonts w:hint="eastAsia" w:ascii="宋体" w:hAnsi="宋体" w:cs="宋体"/>
                <w:bCs/>
                <w:lang w:eastAsia="zh-CN" w:bidi="ar-SA"/>
              </w:rPr>
            </w:pPr>
            <w:r>
              <w:rPr>
                <w:rFonts w:hint="eastAsia" w:ascii="宋体" w:hAnsi="宋体" w:cs="宋体"/>
                <w:bCs/>
                <w:lang w:eastAsia="zh-CN" w:bidi="ar-SA"/>
              </w:rPr>
              <w:t>基</w:t>
            </w:r>
          </w:p>
          <w:p>
            <w:pPr>
              <w:spacing w:line="400" w:lineRule="exact"/>
              <w:jc w:val="center"/>
              <w:rPr>
                <w:rFonts w:hint="eastAsia" w:ascii="宋体" w:hAnsi="宋体" w:cs="宋体"/>
                <w:bCs/>
                <w:lang w:eastAsia="zh-CN" w:bidi="ar-SA"/>
              </w:rPr>
            </w:pPr>
            <w:r>
              <w:rPr>
                <w:rFonts w:hint="eastAsia" w:ascii="宋体" w:hAnsi="宋体" w:cs="宋体"/>
                <w:bCs/>
                <w:lang w:eastAsia="zh-CN" w:bidi="ar-SA"/>
              </w:rPr>
              <w:t>本</w:t>
            </w:r>
          </w:p>
          <w:p>
            <w:pPr>
              <w:spacing w:line="400" w:lineRule="exact"/>
              <w:jc w:val="center"/>
              <w:rPr>
                <w:rFonts w:hint="eastAsia" w:ascii="宋体" w:hAnsi="宋体" w:cs="宋体"/>
                <w:bCs/>
                <w:lang w:eastAsia="zh-CN" w:bidi="ar-SA"/>
              </w:rPr>
            </w:pPr>
            <w:r>
              <w:rPr>
                <w:rFonts w:hint="eastAsia" w:ascii="宋体" w:hAnsi="宋体" w:cs="宋体"/>
                <w:bCs/>
                <w:lang w:eastAsia="zh-CN" w:bidi="ar-SA"/>
              </w:rPr>
              <w:t>情</w:t>
            </w:r>
          </w:p>
          <w:p>
            <w:pPr>
              <w:spacing w:line="400" w:lineRule="exact"/>
              <w:jc w:val="center"/>
              <w:rPr>
                <w:rFonts w:ascii="宋体" w:hAnsi="宋体" w:cs="宋体"/>
                <w:b/>
                <w:bCs/>
                <w:lang w:eastAsia="zh-CN" w:bidi="ar-SA"/>
              </w:rPr>
            </w:pPr>
            <w:r>
              <w:rPr>
                <w:rFonts w:hint="eastAsia" w:ascii="宋体" w:hAnsi="宋体" w:cs="宋体"/>
                <w:bCs/>
                <w:lang w:eastAsia="zh-CN" w:bidi="ar-SA"/>
              </w:rPr>
              <w:t>况</w:t>
            </w:r>
          </w:p>
        </w:tc>
        <w:tc>
          <w:tcPr>
            <w:tcW w:w="1359"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8823" w:type="dxa"/>
            <w:gridSpan w:val="9"/>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龙网办函[2015]1号</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17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计划</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时间</w:t>
            </w:r>
          </w:p>
        </w:tc>
        <w:tc>
          <w:tcPr>
            <w:tcW w:w="1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pacing w:val="-8"/>
                <w:sz w:val="22"/>
                <w:szCs w:val="22"/>
                <w:lang w:eastAsia="zh-CN" w:bidi="ar-SA"/>
              </w:rPr>
            </w:pPr>
            <w:r>
              <w:rPr>
                <w:rFonts w:hint="eastAsia" w:ascii="宋体" w:hAnsi="宋体" w:cs="宋体"/>
                <w:spacing w:val="-8"/>
                <w:sz w:val="22"/>
                <w:szCs w:val="22"/>
                <w:lang w:eastAsia="zh-CN" w:bidi="ar-SA"/>
              </w:rPr>
              <w:t>开始:2017年 01月</w:t>
            </w:r>
          </w:p>
        </w:tc>
        <w:tc>
          <w:tcPr>
            <w:tcW w:w="227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17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8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798"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pacing w:val="-8"/>
                <w:sz w:val="22"/>
                <w:szCs w:val="22"/>
                <w:lang w:eastAsia="zh-CN" w:bidi="ar-SA"/>
              </w:rPr>
            </w:pPr>
            <w:r>
              <w:rPr>
                <w:rFonts w:hint="eastAsia" w:ascii="宋体" w:hAnsi="宋体" w:cs="宋体"/>
                <w:spacing w:val="-8"/>
                <w:sz w:val="22"/>
                <w:szCs w:val="22"/>
                <w:lang w:eastAsia="zh-CN" w:bidi="ar-SA"/>
              </w:rPr>
              <w:t>完成:2017年 12月</w:t>
            </w:r>
          </w:p>
        </w:tc>
        <w:tc>
          <w:tcPr>
            <w:tcW w:w="227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017"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目标分类</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(一级)</w:t>
            </w:r>
          </w:p>
        </w:tc>
        <w:tc>
          <w:tcPr>
            <w:tcW w:w="1816"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分类细化</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（二级）</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绩效目标内容</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（三级）</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restart"/>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continue"/>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97.614万元</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97.614万元</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restart"/>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产出</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购买软件、设备</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软件1套、设备262台</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pacing w:val="-8"/>
                <w:sz w:val="22"/>
                <w:szCs w:val="22"/>
                <w:lang w:eastAsia="zh-CN" w:bidi="ar-SA"/>
              </w:rPr>
            </w:pPr>
            <w:r>
              <w:rPr>
                <w:rFonts w:hint="eastAsia" w:ascii="宋体" w:hAnsi="宋体" w:cs="宋体"/>
                <w:spacing w:val="-8"/>
                <w:sz w:val="22"/>
                <w:szCs w:val="22"/>
                <w:lang w:eastAsia="zh-CN" w:bidi="ar-SA"/>
              </w:rPr>
              <w:t>软件1套、设备262台</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continue"/>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保障龙岩市全流程网上办事统一平台正常运行</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顺畅办理业务</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顺畅办理业务</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社会效益目标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简化行政审批流程</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提高行政审批时效</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提高行政审批时效</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可持续影响目标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pacing w:val="-6"/>
                <w:sz w:val="22"/>
                <w:szCs w:val="22"/>
                <w:lang w:eastAsia="zh-CN" w:bidi="ar-SA"/>
              </w:rPr>
            </w:pPr>
            <w:r>
              <w:rPr>
                <w:rFonts w:hint="eastAsia" w:ascii="宋体" w:hAnsi="宋体" w:cs="宋体"/>
                <w:spacing w:val="-6"/>
                <w:sz w:val="22"/>
                <w:szCs w:val="22"/>
                <w:lang w:eastAsia="zh-CN" w:bidi="ar-SA"/>
              </w:rPr>
              <w:t>行政审批工作持续顺畅开展</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完成一站式服务</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完成一站式服务</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42"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1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1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pacing w:val="-12"/>
                <w:sz w:val="22"/>
                <w:szCs w:val="22"/>
                <w:lang w:eastAsia="zh-CN" w:bidi="ar-SA"/>
              </w:rPr>
            </w:pPr>
            <w:r>
              <w:rPr>
                <w:rFonts w:hint="eastAsia" w:ascii="宋体" w:hAnsi="宋体" w:cs="宋体"/>
                <w:b/>
                <w:bCs/>
                <w:spacing w:val="-12"/>
                <w:sz w:val="22"/>
                <w:szCs w:val="22"/>
                <w:lang w:eastAsia="zh-CN" w:bidi="ar-SA"/>
              </w:rPr>
              <w:t>服务对象满意度目标</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办事群众满意度</w:t>
            </w:r>
          </w:p>
        </w:tc>
        <w:tc>
          <w:tcPr>
            <w:tcW w:w="2273"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1359" w:type="dxa"/>
            <w:gridSpan w:val="3"/>
            <w:tcBorders>
              <w:top w:val="nil"/>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816"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2614"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原因</w:t>
            </w:r>
          </w:p>
        </w:tc>
        <w:tc>
          <w:tcPr>
            <w:tcW w:w="4393" w:type="dxa"/>
            <w:gridSpan w:val="4"/>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17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7007" w:type="dxa"/>
            <w:gridSpan w:val="7"/>
            <w:tcBorders>
              <w:top w:val="single" w:color="auto" w:sz="4" w:space="0"/>
              <w:left w:val="nil"/>
              <w:bottom w:val="single" w:color="auto" w:sz="4" w:space="0"/>
              <w:right w:val="single" w:color="auto" w:sz="4" w:space="0"/>
            </w:tcBorders>
            <w:shd w:val="clear" w:color="auto" w:fill="auto"/>
            <w:vAlign w:val="center"/>
          </w:tcPr>
          <w:p>
            <w:pPr>
              <w:spacing w:line="280" w:lineRule="exact"/>
              <w:rPr>
                <w:rFonts w:hint="eastAsia"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比较法□   因素分析法□   最低成本法□</w:t>
            </w:r>
          </w:p>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公众评判法□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lang w:eastAsia="zh-CN" w:bidi="ar-SA"/>
              </w:rPr>
            </w:pPr>
          </w:p>
        </w:tc>
        <w:tc>
          <w:tcPr>
            <w:tcW w:w="317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007" w:type="dxa"/>
            <w:gridSpan w:val="7"/>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0" w:type="dxa"/>
            <w:bottom w:w="0" w:type="dxa"/>
            <w:right w:w="0" w:type="dxa"/>
          </w:tblCellMar>
        </w:tblPrEx>
        <w:trPr>
          <w:trHeight w:val="284" w:hRule="atLeast"/>
          <w:jc w:val="center"/>
        </w:trPr>
        <w:tc>
          <w:tcPr>
            <w:tcW w:w="493" w:type="dxa"/>
            <w:vMerge w:val="restart"/>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hint="eastAsia" w:ascii="宋体" w:hAnsi="宋体" w:cs="宋体"/>
                <w:b/>
                <w:bCs/>
                <w:lang w:eastAsia="zh-CN" w:bidi="ar-SA"/>
              </w:rPr>
            </w:pPr>
            <w:r>
              <w:rPr>
                <w:rFonts w:hint="eastAsia" w:ascii="宋体" w:hAnsi="宋体" w:cs="宋体"/>
                <w:b/>
                <w:bCs/>
                <w:lang w:eastAsia="zh-CN" w:bidi="ar-SA"/>
              </w:rPr>
              <w:t xml:space="preserve">    项</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目</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资</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金</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安</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排</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和</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使</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用</w:t>
            </w:r>
          </w:p>
          <w:p>
            <w:pPr>
              <w:spacing w:line="400" w:lineRule="exact"/>
              <w:jc w:val="center"/>
              <w:rPr>
                <w:rFonts w:hint="eastAsia" w:ascii="宋体" w:hAnsi="宋体" w:cs="宋体"/>
                <w:b/>
                <w:bCs/>
                <w:lang w:eastAsia="zh-CN" w:bidi="ar-SA"/>
              </w:rPr>
            </w:pPr>
            <w:r>
              <w:rPr>
                <w:rFonts w:hint="eastAsia" w:ascii="宋体" w:hAnsi="宋体" w:cs="宋体"/>
                <w:b/>
                <w:bCs/>
                <w:lang w:eastAsia="zh-CN" w:bidi="ar-SA"/>
              </w:rPr>
              <w:t>情</w:t>
            </w:r>
          </w:p>
          <w:p>
            <w:pPr>
              <w:spacing w:line="400" w:lineRule="exact"/>
              <w:jc w:val="center"/>
              <w:rPr>
                <w:rFonts w:ascii="宋体" w:hAnsi="宋体" w:cs="宋体"/>
                <w:b/>
                <w:bCs/>
                <w:lang w:eastAsia="zh-CN" w:bidi="ar-SA"/>
              </w:rPr>
            </w:pPr>
            <w:r>
              <w:rPr>
                <w:rFonts w:hint="eastAsia" w:ascii="宋体" w:hAnsi="宋体" w:cs="宋体"/>
                <w:b/>
                <w:bCs/>
                <w:lang w:eastAsia="zh-CN" w:bidi="ar-SA"/>
              </w:rPr>
              <w:t xml:space="preserve">况 </w:t>
            </w:r>
          </w:p>
        </w:tc>
        <w:tc>
          <w:tcPr>
            <w:tcW w:w="1670" w:type="dxa"/>
            <w:gridSpan w:val="4"/>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505"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项目安排资金</w:t>
            </w:r>
          </w:p>
        </w:tc>
        <w:tc>
          <w:tcPr>
            <w:tcW w:w="7007" w:type="dxa"/>
            <w:gridSpan w:val="7"/>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本年度情况</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vMerge w:val="continue"/>
            <w:tcBorders>
              <w:left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1505"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预算安排</w:t>
            </w:r>
          </w:p>
        </w:tc>
        <w:tc>
          <w:tcPr>
            <w:tcW w:w="262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实际到位</w:t>
            </w:r>
          </w:p>
        </w:tc>
        <w:tc>
          <w:tcPr>
            <w:tcW w:w="212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实际支出</w:t>
            </w:r>
          </w:p>
        </w:tc>
        <w:tc>
          <w:tcPr>
            <w:tcW w:w="1077" w:type="dxa"/>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xml:space="preserve">本年度结余金额（万元）   </w:t>
            </w:r>
            <w:r>
              <w:rPr>
                <w:rFonts w:hint="eastAsia" w:ascii="宋体" w:hAnsi="宋体" w:cs="宋体"/>
                <w:sz w:val="16"/>
                <w:szCs w:val="16"/>
                <w:lang w:eastAsia="zh-CN" w:bidi="ar-SA"/>
              </w:rPr>
              <w:t>（=⑨-⑩）</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b/>
                <w:bCs/>
                <w:sz w:val="28"/>
                <w:szCs w:val="28"/>
                <w:lang w:eastAsia="zh-CN" w:bidi="ar-SA"/>
              </w:rPr>
            </w:pPr>
          </w:p>
        </w:tc>
        <w:tc>
          <w:tcPr>
            <w:tcW w:w="1670" w:type="dxa"/>
            <w:gridSpan w:val="4"/>
            <w:vMerge w:val="continue"/>
            <w:tcBorders>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505"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cs="宋体"/>
                <w:sz w:val="20"/>
                <w:szCs w:val="20"/>
                <w:lang w:eastAsia="zh-CN" w:bidi="ar-SA"/>
              </w:rPr>
            </w:pPr>
          </w:p>
        </w:tc>
        <w:tc>
          <w:tcPr>
            <w:tcW w:w="118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金额</w:t>
            </w:r>
          </w:p>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（万元）</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⑧</w:t>
            </w:r>
          </w:p>
        </w:tc>
        <w:tc>
          <w:tcPr>
            <w:tcW w:w="14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金额</w:t>
            </w:r>
          </w:p>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（万元）</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⑨</w:t>
            </w:r>
          </w:p>
        </w:tc>
        <w:tc>
          <w:tcPr>
            <w:tcW w:w="1195" w:type="dxa"/>
            <w:tcBorders>
              <w:top w:val="nil"/>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到位率</w:t>
            </w:r>
          </w:p>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（=⑨/⑧）</w:t>
            </w:r>
          </w:p>
        </w:tc>
        <w:tc>
          <w:tcPr>
            <w:tcW w:w="1078" w:type="dxa"/>
            <w:tcBorders>
              <w:top w:val="nil"/>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金额</w:t>
            </w:r>
          </w:p>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（万元）</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⑩</w:t>
            </w:r>
          </w:p>
        </w:tc>
        <w:tc>
          <w:tcPr>
            <w:tcW w:w="10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支出实现率（％）</w:t>
            </w:r>
          </w:p>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（=⑩/⑨）</w:t>
            </w:r>
          </w:p>
        </w:tc>
        <w:tc>
          <w:tcPr>
            <w:tcW w:w="1077" w:type="dxa"/>
            <w:vMerge w:val="continue"/>
            <w:tcBorders>
              <w:left w:val="single" w:color="auto" w:sz="4" w:space="0"/>
              <w:bottom w:val="single" w:color="auto" w:sz="4" w:space="0"/>
              <w:right w:val="single" w:color="auto" w:sz="4" w:space="0"/>
            </w:tcBorders>
            <w:vAlign w:val="center"/>
          </w:tcPr>
          <w:p>
            <w:pPr>
              <w:spacing w:line="280" w:lineRule="exact"/>
              <w:rPr>
                <w:rFonts w:ascii="宋体" w:hAnsi="宋体" w:cs="宋体"/>
                <w:sz w:val="20"/>
                <w:szCs w:val="20"/>
                <w:lang w:eastAsia="zh-CN" w:bidi="ar-SA"/>
              </w:rPr>
            </w:pP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lang w:eastAsia="zh-CN" w:bidi="ar-SA"/>
              </w:rPr>
            </w:pPr>
            <w:r>
              <w:rPr>
                <w:rFonts w:hint="eastAsia" w:ascii="宋体" w:hAnsi="宋体" w:cs="宋体"/>
                <w:lang w:eastAsia="zh-CN" w:bidi="ar-SA"/>
              </w:rPr>
              <w:t>合计</w:t>
            </w:r>
            <w:r>
              <w:rPr>
                <w:rFonts w:hint="eastAsia" w:ascii="宋体" w:hAnsi="宋体" w:cs="宋体"/>
                <w:sz w:val="22"/>
                <w:szCs w:val="22"/>
                <w:lang w:eastAsia="zh-CN" w:bidi="ar-SA"/>
              </w:rPr>
              <w:t>(=1+2)</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1.财政资金小计</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(=①+②+③+④）</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①中央财政资金</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②省财政资金</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③市财政资金</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97.614</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100%</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④其他财政资金</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hint="eastAsia" w:ascii="宋体" w:hAnsi="宋体" w:cs="宋体"/>
                <w:sz w:val="20"/>
                <w:szCs w:val="20"/>
                <w:lang w:eastAsia="zh-CN" w:bidi="ar-SA"/>
              </w:rPr>
            </w:pPr>
            <w:r>
              <w:rPr>
                <w:rFonts w:hint="eastAsia" w:ascii="宋体" w:hAnsi="宋体" w:cs="宋体"/>
                <w:sz w:val="20"/>
                <w:szCs w:val="20"/>
                <w:lang w:eastAsia="zh-CN" w:bidi="ar-SA"/>
              </w:rPr>
              <w:t>2.其他资金小计</w:t>
            </w:r>
          </w:p>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（=⑤+⑥+⑦）</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⑤银行贷款</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⑥自筹资金</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284"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670"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⑦其他</w:t>
            </w:r>
          </w:p>
        </w:tc>
        <w:tc>
          <w:tcPr>
            <w:tcW w:w="150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89"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42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19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8"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4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107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财政资金实际支出情况</w:t>
            </w: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序号</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具体支出内容</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金额(万元)</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1</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县开发部署费用</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64.27</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2</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乡镇开发部署费用</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33.344</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3</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4</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5</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6</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7</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r>
      <w:tr>
        <w:tblPrEx>
          <w:tblLayout w:type="fixed"/>
          <w:tblCellMar>
            <w:top w:w="0" w:type="dxa"/>
            <w:left w:w="0" w:type="dxa"/>
            <w:bottom w:w="0" w:type="dxa"/>
            <w:right w:w="0" w:type="dxa"/>
          </w:tblCellMar>
        </w:tblPrEx>
        <w:trPr>
          <w:trHeight w:val="312" w:hRule="atLeast"/>
          <w:jc w:val="center"/>
        </w:trPr>
        <w:tc>
          <w:tcPr>
            <w:tcW w:w="49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102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644"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合计</w:t>
            </w:r>
          </w:p>
        </w:tc>
        <w:tc>
          <w:tcPr>
            <w:tcW w:w="639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　</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97.614</w:t>
            </w:r>
          </w:p>
        </w:tc>
      </w:tr>
    </w:tbl>
    <w:p>
      <w:pPr>
        <w:spacing w:line="200" w:lineRule="exact"/>
        <w:jc w:val="both"/>
        <w:rPr>
          <w:rFonts w:hint="eastAsia" w:ascii="黑体" w:hAnsi="黑体" w:eastAsia="黑体"/>
          <w:color w:val="000000"/>
          <w:sz w:val="28"/>
          <w:szCs w:val="28"/>
          <w:lang w:eastAsia="zh-CN"/>
        </w:rPr>
      </w:pPr>
    </w:p>
    <w:tbl>
      <w:tblPr>
        <w:tblStyle w:val="3"/>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5"/>
        <w:gridCol w:w="1833"/>
        <w:gridCol w:w="1159"/>
        <w:gridCol w:w="1801"/>
        <w:gridCol w:w="3803"/>
        <w:gridCol w:w="400"/>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4" w:hRule="atLeast"/>
          <w:jc w:val="center"/>
        </w:trPr>
        <w:tc>
          <w:tcPr>
            <w:tcW w:w="615" w:type="dxa"/>
            <w:shd w:val="clear" w:color="auto" w:fill="auto"/>
            <w:vAlign w:val="center"/>
          </w:tcPr>
          <w:p>
            <w:pPr>
              <w:spacing w:line="240" w:lineRule="exact"/>
              <w:jc w:val="center"/>
              <w:rPr>
                <w:rFonts w:ascii="宋体" w:hAnsi="宋体" w:cs="宋体"/>
                <w:b/>
                <w:bCs/>
                <w:sz w:val="28"/>
                <w:szCs w:val="28"/>
                <w:lang w:eastAsia="zh-CN" w:bidi="ar-SA"/>
              </w:rPr>
            </w:pPr>
          </w:p>
        </w:tc>
        <w:tc>
          <w:tcPr>
            <w:tcW w:w="1833"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159"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801"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803"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权重</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5" w:hRule="atLeast"/>
          <w:jc w:val="center"/>
        </w:trPr>
        <w:tc>
          <w:tcPr>
            <w:tcW w:w="615" w:type="dxa"/>
            <w:vMerge w:val="restart"/>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833" w:type="dxa"/>
            <w:vMerge w:val="restart"/>
            <w:shd w:val="clear" w:color="auto" w:fill="auto"/>
            <w:vAlign w:val="center"/>
          </w:tcPr>
          <w:p>
            <w:pPr>
              <w:spacing w:line="24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159"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restart"/>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801" w:type="dxa"/>
            <w:shd w:val="clear" w:color="auto" w:fill="auto"/>
            <w:vAlign w:val="center"/>
          </w:tcPr>
          <w:p>
            <w:pPr>
              <w:spacing w:line="240" w:lineRule="exact"/>
              <w:jc w:val="center"/>
              <w:rPr>
                <w:rFonts w:ascii="宋体" w:hAnsi="宋体" w:cs="宋体"/>
                <w:sz w:val="18"/>
                <w:szCs w:val="18"/>
                <w:lang w:eastAsia="zh-CN" w:bidi="ar-SA"/>
              </w:rPr>
            </w:pPr>
            <w:r>
              <w:rPr>
                <w:rFonts w:hint="eastAsia" w:ascii="宋体" w:hAnsi="宋体" w:cs="宋体"/>
                <w:sz w:val="18"/>
                <w:szCs w:val="18"/>
                <w:lang w:eastAsia="zh-CN" w:bidi="ar-SA"/>
              </w:rPr>
              <w:t>绩效目标合理性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6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restart"/>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65"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0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restart"/>
            <w:shd w:val="clear" w:color="auto" w:fill="auto"/>
            <w:vAlign w:val="center"/>
          </w:tcPr>
          <w:p>
            <w:pPr>
              <w:spacing w:line="24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159" w:type="dxa"/>
            <w:vMerge w:val="restart"/>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0"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5" w:hRule="atLeast"/>
          <w:jc w:val="center"/>
        </w:trPr>
        <w:tc>
          <w:tcPr>
            <w:tcW w:w="615" w:type="dxa"/>
            <w:vMerge w:val="continue"/>
            <w:shd w:val="clear" w:color="auto" w:fill="auto"/>
            <w:vAlign w:val="center"/>
          </w:tcPr>
          <w:p>
            <w:pPr>
              <w:spacing w:line="240" w:lineRule="exact"/>
              <w:rPr>
                <w:rFonts w:ascii="宋体" w:hAnsi="宋体" w:cs="宋体"/>
                <w:b/>
                <w:bCs/>
                <w:sz w:val="28"/>
                <w:szCs w:val="28"/>
                <w:lang w:eastAsia="zh-CN" w:bidi="ar-SA"/>
              </w:rPr>
            </w:pPr>
          </w:p>
        </w:tc>
        <w:tc>
          <w:tcPr>
            <w:tcW w:w="1833" w:type="dxa"/>
            <w:vMerge w:val="continue"/>
            <w:shd w:val="clear" w:color="auto" w:fill="auto"/>
            <w:vAlign w:val="center"/>
          </w:tcPr>
          <w:p>
            <w:pPr>
              <w:spacing w:line="240" w:lineRule="exact"/>
              <w:jc w:val="both"/>
              <w:rPr>
                <w:rFonts w:ascii="宋体" w:hAnsi="宋体" w:cs="宋体"/>
                <w:b/>
                <w:bCs/>
                <w:sz w:val="20"/>
                <w:szCs w:val="20"/>
                <w:lang w:eastAsia="zh-CN" w:bidi="ar-SA"/>
              </w:rPr>
            </w:pPr>
          </w:p>
        </w:tc>
        <w:tc>
          <w:tcPr>
            <w:tcW w:w="1159" w:type="dxa"/>
            <w:vMerge w:val="continue"/>
            <w:shd w:val="clear" w:color="auto" w:fill="auto"/>
            <w:vAlign w:val="center"/>
          </w:tcPr>
          <w:p>
            <w:pPr>
              <w:spacing w:line="240" w:lineRule="exact"/>
              <w:rPr>
                <w:rFonts w:ascii="宋体" w:hAnsi="宋体" w:cs="宋体"/>
                <w:sz w:val="20"/>
                <w:szCs w:val="20"/>
                <w:lang w:eastAsia="zh-CN" w:bidi="ar-SA"/>
              </w:rPr>
            </w:pPr>
          </w:p>
        </w:tc>
        <w:tc>
          <w:tcPr>
            <w:tcW w:w="1801" w:type="dxa"/>
            <w:shd w:val="clear" w:color="auto" w:fill="auto"/>
            <w:vAlign w:val="center"/>
          </w:tcPr>
          <w:p>
            <w:pPr>
              <w:spacing w:line="240" w:lineRule="exact"/>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3803"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400"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c>
          <w:tcPr>
            <w:tcW w:w="455" w:type="dxa"/>
            <w:shd w:val="clear" w:color="auto" w:fill="auto"/>
            <w:vAlign w:val="center"/>
          </w:tcPr>
          <w:p>
            <w:pPr>
              <w:spacing w:line="240" w:lineRule="exact"/>
              <w:jc w:val="center"/>
              <w:rPr>
                <w:rFonts w:ascii="宋体" w:hAnsi="宋体" w:cs="宋体"/>
                <w:b/>
                <w:bCs/>
                <w:lang w:eastAsia="zh-CN" w:bidi="ar-SA"/>
              </w:rPr>
            </w:pPr>
            <w:r>
              <w:rPr>
                <w:rFonts w:hint="eastAsia" w:ascii="宋体" w:hAnsi="宋体" w:cs="宋体"/>
                <w:b/>
                <w:bCs/>
                <w:lang w:eastAsia="zh-CN" w:bidi="ar-SA"/>
              </w:rPr>
              <w:t>3</w:t>
            </w:r>
          </w:p>
        </w:tc>
      </w:tr>
    </w:tbl>
    <w:p>
      <w:pPr>
        <w:spacing w:line="200" w:lineRule="exact"/>
        <w:jc w:val="both"/>
        <w:rPr>
          <w:rFonts w:hint="eastAsia" w:ascii="黑体" w:hAnsi="黑体" w:eastAsia="黑体"/>
          <w:color w:val="000000"/>
          <w:sz w:val="28"/>
          <w:szCs w:val="28"/>
          <w:lang w:eastAsia="zh-CN"/>
        </w:rPr>
      </w:pPr>
    </w:p>
    <w:tbl>
      <w:tblPr>
        <w:tblStyle w:val="3"/>
        <w:tblW w:w="10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4"/>
        <w:gridCol w:w="812"/>
        <w:gridCol w:w="846"/>
        <w:gridCol w:w="7"/>
        <w:gridCol w:w="1305"/>
        <w:gridCol w:w="1603"/>
        <w:gridCol w:w="3599"/>
        <w:gridCol w:w="60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4" w:hRule="atLeast"/>
          <w:jc w:val="center"/>
        </w:trPr>
        <w:tc>
          <w:tcPr>
            <w:tcW w:w="534" w:type="dxa"/>
            <w:shd w:val="clear" w:color="auto" w:fill="auto"/>
            <w:vAlign w:val="center"/>
          </w:tcPr>
          <w:p>
            <w:pPr>
              <w:spacing w:line="260" w:lineRule="exact"/>
              <w:jc w:val="center"/>
              <w:rPr>
                <w:rFonts w:ascii="宋体" w:hAnsi="宋体" w:cs="宋体"/>
                <w:b/>
                <w:bCs/>
                <w:sz w:val="28"/>
                <w:szCs w:val="28"/>
                <w:lang w:eastAsia="zh-CN" w:bidi="ar-SA"/>
              </w:rPr>
            </w:pPr>
          </w:p>
        </w:tc>
        <w:tc>
          <w:tcPr>
            <w:tcW w:w="1665" w:type="dxa"/>
            <w:gridSpan w:val="3"/>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305"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603"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599"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601"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权重</w:t>
            </w:r>
          </w:p>
        </w:tc>
        <w:tc>
          <w:tcPr>
            <w:tcW w:w="840" w:type="dxa"/>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840" w:hRule="atLeast"/>
          <w:jc w:val="center"/>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资金使用管理</w:t>
            </w: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财务管理制度健全性</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129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3599" w:type="dxa"/>
            <w:tcBorders>
              <w:top w:val="single" w:color="auto" w:sz="4" w:space="0"/>
              <w:left w:val="nil"/>
              <w:bottom w:val="nil"/>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93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nil"/>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项目资金安全性</w:t>
            </w:r>
          </w:p>
        </w:tc>
        <w:tc>
          <w:tcPr>
            <w:tcW w:w="3599" w:type="dxa"/>
            <w:tcBorders>
              <w:top w:val="single" w:color="auto" w:sz="4" w:space="0"/>
              <w:left w:val="nil"/>
              <w:bottom w:val="nil"/>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93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信息规范性</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93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信息完整性</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93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固定资产利用率</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①固定资产利用率=实际在用固定资产/所有固定资产×100%。本指标按比例计分。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93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p>
        </w:tc>
        <w:tc>
          <w:tcPr>
            <w:tcW w:w="16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固定资产专人管理情况</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①指定专人管理本单位固定资产得满分，否则不得分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5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2.单项指标权重最高不得超过10%。</w:t>
            </w:r>
          </w:p>
        </w:tc>
        <w:tc>
          <w:tcPr>
            <w:tcW w:w="131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603"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购买软件、设备</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购买软件1套、设备262台，保质保量完成全流程网上办事统一平台建设得满分，每少一套扣1分，扣完为止</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66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603" w:type="dxa"/>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保障龙岩市全流程网上办事统一平台正常运行</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办事统一平台能够正常、顺畅办理业务得满分，否则不得分。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5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603"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简化行政审批流程</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确实提高行政审批时效得满分，否则不得分。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5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603"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行政审批工作持续顺畅开展</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完成一站式服务得满分，否则不得分。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525"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165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both"/>
              <w:rPr>
                <w:rFonts w:ascii="宋体" w:hAnsi="宋体" w:cs="宋体"/>
                <w:b/>
                <w:bCs/>
                <w:sz w:val="20"/>
                <w:szCs w:val="20"/>
                <w:lang w:eastAsia="zh-CN" w:bidi="ar-SA"/>
              </w:rPr>
            </w:pPr>
          </w:p>
        </w:tc>
        <w:tc>
          <w:tcPr>
            <w:tcW w:w="131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0"/>
                <w:szCs w:val="20"/>
                <w:lang w:eastAsia="zh-CN" w:bidi="ar-SA"/>
              </w:rPr>
            </w:pPr>
            <w:r>
              <w:rPr>
                <w:rFonts w:hint="eastAsia" w:ascii="宋体" w:hAnsi="宋体" w:cs="宋体"/>
                <w:sz w:val="20"/>
                <w:szCs w:val="20"/>
                <w:lang w:eastAsia="zh-CN" w:bidi="ar-SA"/>
              </w:rPr>
              <w:t>服务对象</w:t>
            </w:r>
          </w:p>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满意度</w:t>
            </w:r>
          </w:p>
        </w:tc>
        <w:tc>
          <w:tcPr>
            <w:tcW w:w="1603"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0"/>
                <w:szCs w:val="20"/>
                <w:lang w:eastAsia="zh-CN" w:bidi="ar-SA"/>
              </w:rPr>
            </w:pPr>
            <w:r>
              <w:rPr>
                <w:rFonts w:hint="eastAsia" w:ascii="宋体" w:hAnsi="宋体" w:cs="宋体"/>
                <w:sz w:val="20"/>
                <w:szCs w:val="20"/>
                <w:lang w:eastAsia="zh-CN" w:bidi="ar-SA"/>
              </w:rPr>
              <w:t>办事群众满意度</w:t>
            </w:r>
          </w:p>
        </w:tc>
        <w:tc>
          <w:tcPr>
            <w:tcW w:w="3599"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办事群众满意，得满分，比较满意得6分，一般得3分，不满意不得分。</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60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8172" w:type="dxa"/>
            <w:gridSpan w:val="6"/>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总权重、评价总分 （S）</w:t>
            </w:r>
          </w:p>
        </w:tc>
        <w:tc>
          <w:tcPr>
            <w:tcW w:w="60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100%</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57" w:type="dxa"/>
            <w:bottom w:w="0" w:type="dxa"/>
            <w:right w:w="57" w:type="dxa"/>
          </w:tblCellMar>
        </w:tblPrEx>
        <w:trPr>
          <w:trHeight w:val="720" w:hRule="atLeast"/>
          <w:jc w:val="center"/>
        </w:trPr>
        <w:tc>
          <w:tcPr>
            <w:tcW w:w="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8"/>
                <w:szCs w:val="28"/>
                <w:lang w:eastAsia="zh-CN" w:bidi="ar-SA"/>
              </w:rPr>
            </w:pPr>
          </w:p>
        </w:tc>
        <w:tc>
          <w:tcPr>
            <w:tcW w:w="812" w:type="dxa"/>
            <w:tcBorders>
              <w:top w:val="nil"/>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lang w:eastAsia="zh-CN" w:bidi="ar-SA"/>
              </w:rPr>
            </w:pPr>
            <w:r>
              <w:rPr>
                <w:rFonts w:hint="eastAsia" w:ascii="宋体" w:hAnsi="宋体" w:cs="宋体"/>
                <w:b/>
                <w:bCs/>
                <w:lang w:eastAsia="zh-CN" w:bidi="ar-SA"/>
              </w:rPr>
              <w:t>评价 等级</w:t>
            </w:r>
          </w:p>
        </w:tc>
        <w:tc>
          <w:tcPr>
            <w:tcW w:w="8801" w:type="dxa"/>
            <w:gridSpan w:val="7"/>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优秀（S≧90）    □良好（90﹥S≧75）   □合格（75﹥S≧60）    □不合格（60&lt;S）</w:t>
            </w:r>
          </w:p>
        </w:tc>
      </w:tr>
    </w:tbl>
    <w:p>
      <w:pPr>
        <w:spacing w:line="200" w:lineRule="exact"/>
        <w:jc w:val="both"/>
        <w:rPr>
          <w:rFonts w:hint="eastAsia" w:ascii="黑体" w:hAnsi="黑体" w:eastAsia="黑体"/>
          <w:color w:val="000000"/>
          <w:sz w:val="28"/>
          <w:szCs w:val="28"/>
          <w:lang w:eastAsia="zh-CN"/>
        </w:rPr>
      </w:pPr>
    </w:p>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EFC3D"/>
    <w:multiLevelType w:val="singleLevel"/>
    <w:tmpl w:val="5ADEFC3D"/>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F175C"/>
    <w:rsid w:val="3B8F1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2018-06-04T02:24:00Z</dcterms:created>
  <dc:creator>admin</dc:creator>
  <cp:lastModifiedBy>admin</cp:lastModifiedBy>
  <dcterms:modified xsi:type="dcterms:W3CDTF">2018-06-04T02:26:36Z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