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黑体"/>
          <w:szCs w:val="32"/>
        </w:rPr>
      </w:pPr>
      <w:bookmarkStart w:id="0" w:name="MainBody"/>
      <w:r>
        <w:rPr>
          <w:rFonts w:eastAsia="黑体"/>
          <w:szCs w:val="32"/>
        </w:rPr>
        <w:t>附件</w:t>
      </w:r>
    </w:p>
    <w:p>
      <w:pPr>
        <w:pStyle w:val="2"/>
        <w:spacing w:line="500" w:lineRule="exact"/>
        <w:jc w:val="center"/>
        <w:rPr>
          <w:rFonts w:eastAsia="方正小标宋简体"/>
          <w:color w:val="000000"/>
          <w:sz w:val="44"/>
          <w:szCs w:val="44"/>
        </w:rPr>
      </w:pPr>
      <w:r>
        <w:rPr>
          <w:rFonts w:eastAsia="方正小标宋简体"/>
          <w:color w:val="000000"/>
          <w:sz w:val="44"/>
          <w:szCs w:val="44"/>
        </w:rPr>
        <w:t>房屋市政工程安全生产治本攻坚三年行动主要任务清单</w:t>
      </w:r>
    </w:p>
    <w:tbl>
      <w:tblPr>
        <w:tblStyle w:val="7"/>
        <w:tblW w:w="13999" w:type="dxa"/>
        <w:tblInd w:w="0" w:type="dxa"/>
        <w:tblLayout w:type="fixed"/>
        <w:tblCellMar>
          <w:top w:w="0" w:type="dxa"/>
          <w:left w:w="108" w:type="dxa"/>
          <w:bottom w:w="0" w:type="dxa"/>
          <w:right w:w="108" w:type="dxa"/>
        </w:tblCellMar>
      </w:tblPr>
      <w:tblGrid>
        <w:gridCol w:w="744"/>
        <w:gridCol w:w="1565"/>
        <w:gridCol w:w="11690"/>
      </w:tblGrid>
      <w:tr>
        <w:tblPrEx>
          <w:tblCellMar>
            <w:top w:w="0" w:type="dxa"/>
            <w:left w:w="108" w:type="dxa"/>
            <w:bottom w:w="0" w:type="dxa"/>
            <w:right w:w="108" w:type="dxa"/>
          </w:tblCellMar>
        </w:tblPrEx>
        <w:trPr>
          <w:wBefore w:w="0" w:type="dxa"/>
          <w:wAfter w:w="0" w:type="dxa"/>
          <w:trHeight w:val="394" w:hRule="atLeast"/>
          <w:tblHeader/>
        </w:trPr>
        <w:tc>
          <w:tcPr>
            <w:tcW w:w="744" w:type="dxa"/>
            <w:tcBorders>
              <w:top w:val="single" w:color="000000" w:sz="4" w:space="0"/>
              <w:left w:val="single" w:color="000000" w:sz="4" w:space="0"/>
              <w:bottom w:val="nil"/>
              <w:right w:val="single" w:color="000000" w:sz="4" w:space="0"/>
            </w:tcBorders>
            <w:noWrap w:val="0"/>
            <w:vAlign w:val="center"/>
          </w:tcPr>
          <w:p>
            <w:pPr>
              <w:widowControl/>
              <w:spacing w:line="300" w:lineRule="exact"/>
              <w:jc w:val="center"/>
              <w:textAlignment w:val="center"/>
              <w:rPr>
                <w:rFonts w:hint="eastAsia" w:ascii="仿宋_GB2312"/>
                <w:b/>
                <w:color w:val="000000"/>
                <w:sz w:val="28"/>
                <w:szCs w:val="28"/>
              </w:rPr>
            </w:pPr>
            <w:r>
              <w:rPr>
                <w:rFonts w:hint="eastAsia" w:ascii="仿宋_GB2312"/>
                <w:b/>
                <w:color w:val="000000"/>
                <w:kern w:val="0"/>
                <w:sz w:val="28"/>
                <w:szCs w:val="28"/>
                <w:lang w:bidi="ar"/>
              </w:rPr>
              <w:t>序</w:t>
            </w:r>
            <w:r>
              <w:rPr>
                <w:rFonts w:hint="eastAsia" w:ascii="仿宋_GB2312"/>
                <w:b/>
                <w:color w:val="000000"/>
                <w:kern w:val="0"/>
                <w:sz w:val="28"/>
                <w:szCs w:val="28"/>
                <w:lang w:bidi="ar"/>
              </w:rPr>
              <w:br w:type="textWrapping"/>
            </w:r>
            <w:r>
              <w:rPr>
                <w:rFonts w:hint="eastAsia" w:ascii="仿宋_GB2312"/>
                <w:b/>
                <w:color w:val="000000"/>
                <w:kern w:val="0"/>
                <w:sz w:val="28"/>
                <w:szCs w:val="28"/>
                <w:lang w:bidi="ar"/>
              </w:rPr>
              <w:t>号</w:t>
            </w:r>
          </w:p>
        </w:tc>
        <w:tc>
          <w:tcPr>
            <w:tcW w:w="1565" w:type="dxa"/>
            <w:tcBorders>
              <w:top w:val="single" w:color="000000" w:sz="4" w:space="0"/>
              <w:left w:val="single" w:color="000000" w:sz="4" w:space="0"/>
              <w:bottom w:val="nil"/>
              <w:right w:val="single" w:color="000000" w:sz="4" w:space="0"/>
            </w:tcBorders>
            <w:noWrap w:val="0"/>
            <w:vAlign w:val="center"/>
          </w:tcPr>
          <w:p>
            <w:pPr>
              <w:widowControl/>
              <w:spacing w:line="300" w:lineRule="exact"/>
              <w:jc w:val="center"/>
              <w:textAlignment w:val="center"/>
              <w:rPr>
                <w:rFonts w:hint="eastAsia" w:ascii="仿宋_GB2312"/>
                <w:b/>
                <w:color w:val="000000"/>
                <w:sz w:val="28"/>
                <w:szCs w:val="28"/>
              </w:rPr>
            </w:pPr>
            <w:r>
              <w:rPr>
                <w:rFonts w:hint="eastAsia" w:ascii="仿宋_GB2312"/>
                <w:b/>
                <w:color w:val="000000"/>
                <w:kern w:val="0"/>
                <w:sz w:val="28"/>
                <w:szCs w:val="28"/>
                <w:lang w:bidi="ar"/>
              </w:rPr>
              <w:t>事项</w:t>
            </w:r>
            <w:r>
              <w:rPr>
                <w:rFonts w:hint="eastAsia" w:ascii="仿宋_GB2312"/>
                <w:b/>
                <w:color w:val="000000"/>
                <w:kern w:val="0"/>
                <w:sz w:val="28"/>
                <w:szCs w:val="28"/>
                <w:lang w:bidi="ar"/>
              </w:rPr>
              <w:br w:type="textWrapping"/>
            </w:r>
            <w:r>
              <w:rPr>
                <w:rFonts w:hint="eastAsia" w:ascii="仿宋_GB2312"/>
                <w:b/>
                <w:color w:val="000000"/>
                <w:kern w:val="0"/>
                <w:sz w:val="28"/>
                <w:szCs w:val="28"/>
                <w:lang w:bidi="ar"/>
              </w:rPr>
              <w:t>名称</w:t>
            </w:r>
          </w:p>
        </w:tc>
        <w:tc>
          <w:tcPr>
            <w:tcW w:w="11690" w:type="dxa"/>
            <w:tcBorders>
              <w:top w:val="single" w:color="000000" w:sz="4" w:space="0"/>
              <w:left w:val="single" w:color="000000" w:sz="4" w:space="0"/>
              <w:bottom w:val="nil"/>
              <w:right w:val="single" w:color="000000" w:sz="4" w:space="0"/>
            </w:tcBorders>
            <w:noWrap w:val="0"/>
            <w:vAlign w:val="center"/>
          </w:tcPr>
          <w:p>
            <w:pPr>
              <w:widowControl/>
              <w:spacing w:line="300" w:lineRule="exact"/>
              <w:jc w:val="center"/>
              <w:textAlignment w:val="center"/>
              <w:rPr>
                <w:rFonts w:hint="eastAsia" w:ascii="仿宋_GB2312"/>
                <w:b/>
                <w:color w:val="000000"/>
                <w:sz w:val="28"/>
                <w:szCs w:val="28"/>
              </w:rPr>
            </w:pPr>
            <w:r>
              <w:rPr>
                <w:rFonts w:hint="eastAsia" w:ascii="仿宋_GB2312"/>
                <w:b/>
                <w:color w:val="000000"/>
                <w:kern w:val="0"/>
                <w:sz w:val="28"/>
                <w:szCs w:val="28"/>
                <w:lang w:bidi="ar"/>
              </w:rPr>
              <w:t>主要任务</w:t>
            </w:r>
          </w:p>
        </w:tc>
      </w:tr>
      <w:tr>
        <w:tblPrEx>
          <w:tblCellMar>
            <w:top w:w="0" w:type="dxa"/>
            <w:left w:w="108" w:type="dxa"/>
            <w:bottom w:w="0" w:type="dxa"/>
            <w:right w:w="108" w:type="dxa"/>
          </w:tblCellMar>
        </w:tblPrEx>
        <w:trPr>
          <w:wBefore w:w="0" w:type="dxa"/>
          <w:wAfter w:w="0" w:type="dxa"/>
          <w:trHeight w:val="4286"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sz w:val="28"/>
                <w:szCs w:val="28"/>
              </w:rPr>
              <w:t>1</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（一）健全施工安全事前预防机制</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color w:val="000000"/>
                <w:sz w:val="28"/>
                <w:szCs w:val="28"/>
              </w:rPr>
            </w:pPr>
            <w:r>
              <w:rPr>
                <w:rFonts w:hint="eastAsia" w:ascii="仿宋_GB2312"/>
                <w:color w:val="000000"/>
                <w:sz w:val="28"/>
                <w:szCs w:val="28"/>
              </w:rPr>
              <w:t>1.按照“逐企业、逐项目、逐设备”的原则，结合项目监管机构日常“双随机”评价，每年至少完成2轮辖区内所有在建项目全覆盖隐患排查。</w:t>
            </w:r>
          </w:p>
          <w:p>
            <w:pPr>
              <w:widowControl/>
              <w:spacing w:line="300" w:lineRule="exact"/>
              <w:textAlignment w:val="center"/>
              <w:rPr>
                <w:rFonts w:hint="eastAsia" w:ascii="仿宋_GB2312"/>
                <w:color w:val="000000"/>
                <w:sz w:val="28"/>
                <w:szCs w:val="28"/>
              </w:rPr>
            </w:pPr>
            <w:r>
              <w:rPr>
                <w:rFonts w:hint="eastAsia" w:ascii="仿宋_GB2312"/>
                <w:color w:val="000000"/>
                <w:sz w:val="28"/>
                <w:szCs w:val="28"/>
              </w:rPr>
              <w:t>2.应用全省监管一体化平台和安全检查“四不两直”系统，加强危大工程管控，及时研判多发隐患和共性问题，开展“一月一主题”专项排查，</w:t>
            </w:r>
            <w:r>
              <w:rPr>
                <w:rFonts w:hint="eastAsia" w:ascii="仿宋_GB2312"/>
                <w:color w:val="000000"/>
                <w:kern w:val="0"/>
                <w:sz w:val="28"/>
                <w:szCs w:val="28"/>
                <w:lang w:bidi="ar"/>
              </w:rPr>
              <w:t>实现“精准拆弹”</w:t>
            </w:r>
            <w:r>
              <w:rPr>
                <w:rFonts w:hint="eastAsia" w:ascii="仿宋_GB2312"/>
                <w:color w:val="000000"/>
                <w:sz w:val="28"/>
                <w:szCs w:val="28"/>
              </w:rPr>
              <w:t>。</w:t>
            </w:r>
          </w:p>
          <w:p>
            <w:pPr>
              <w:widowControl/>
              <w:spacing w:line="300" w:lineRule="exact"/>
              <w:textAlignment w:val="center"/>
              <w:rPr>
                <w:rFonts w:hint="eastAsia" w:ascii="仿宋_GB2312"/>
                <w:color w:val="000000"/>
                <w:sz w:val="28"/>
                <w:szCs w:val="28"/>
              </w:rPr>
            </w:pPr>
            <w:r>
              <w:rPr>
                <w:rFonts w:hint="eastAsia" w:ascii="仿宋_GB2312"/>
                <w:color w:val="000000"/>
                <w:sz w:val="28"/>
                <w:szCs w:val="28"/>
              </w:rPr>
              <w:t>3.深入推进智慧工地建设，根据《福建省房屋市政工程智慧工地星级评价标准》，指导企业全面推行“机器代工、系统代脑、工厂代现场”。</w:t>
            </w:r>
          </w:p>
          <w:p>
            <w:pPr>
              <w:widowControl/>
              <w:spacing w:line="300" w:lineRule="exact"/>
              <w:textAlignment w:val="center"/>
              <w:rPr>
                <w:rFonts w:hint="eastAsia" w:ascii="仿宋_GB2312"/>
                <w:color w:val="000000"/>
                <w:sz w:val="28"/>
                <w:szCs w:val="28"/>
              </w:rPr>
            </w:pPr>
            <w:r>
              <w:rPr>
                <w:rFonts w:hint="eastAsia" w:ascii="仿宋_GB2312"/>
                <w:color w:val="000000"/>
                <w:sz w:val="28"/>
                <w:szCs w:val="28"/>
              </w:rPr>
              <w:t>4.根据《福建省房屋市政工程安全风险分级管控与隐患排查治理</w:t>
            </w:r>
            <w:bookmarkStart w:id="1" w:name="_GoBack"/>
            <w:bookmarkEnd w:id="1"/>
            <w:r>
              <w:rPr>
                <w:rFonts w:hint="eastAsia" w:ascii="仿宋_GB2312"/>
                <w:color w:val="000000"/>
                <w:sz w:val="28"/>
                <w:szCs w:val="28"/>
              </w:rPr>
              <w:t>标准》，督促指导施工单位在施工现场建立健全建筑施工安全风险分级管控和隐患排查治理运行模式和机制，全面开展安全风险分级管控事故隐患排查治理。</w:t>
            </w:r>
          </w:p>
          <w:p>
            <w:pPr>
              <w:widowControl/>
              <w:spacing w:line="300" w:lineRule="exact"/>
              <w:textAlignment w:val="center"/>
              <w:rPr>
                <w:rFonts w:hint="eastAsia" w:ascii="仿宋_GB2312"/>
                <w:color w:val="000000"/>
                <w:sz w:val="28"/>
                <w:szCs w:val="28"/>
              </w:rPr>
            </w:pPr>
            <w:r>
              <w:rPr>
                <w:rFonts w:hint="eastAsia" w:ascii="仿宋_GB2312"/>
                <w:color w:val="000000"/>
                <w:sz w:val="28"/>
                <w:szCs w:val="28"/>
              </w:rPr>
              <w:t>5.将排查发现的重大事故隐患及时纳入房屋市政工程重大事故隐患数据库；2026年底前，基本实现重大事故隐患动态清零。</w:t>
            </w:r>
          </w:p>
          <w:p>
            <w:pPr>
              <w:widowControl/>
              <w:spacing w:line="300" w:lineRule="exact"/>
              <w:textAlignment w:val="center"/>
              <w:rPr>
                <w:rFonts w:hint="eastAsia" w:ascii="仿宋_GB2312"/>
                <w:color w:val="000000"/>
                <w:sz w:val="28"/>
                <w:szCs w:val="28"/>
              </w:rPr>
            </w:pPr>
            <w:r>
              <w:rPr>
                <w:rFonts w:hint="eastAsia" w:ascii="仿宋_GB2312"/>
                <w:color w:val="000000"/>
                <w:sz w:val="28"/>
                <w:szCs w:val="28"/>
              </w:rPr>
              <w:t>6.加强危大工程过程管控，落实《福建省建设工程安全专项施工方案论证专家库管理办法》，督促在建房屋市政工程项目全面应用全省危大工程管理系统，动态更新清单台账并全程纳管。</w:t>
            </w:r>
          </w:p>
        </w:tc>
      </w:tr>
      <w:tr>
        <w:tblPrEx>
          <w:tblCellMar>
            <w:top w:w="0" w:type="dxa"/>
            <w:left w:w="108" w:type="dxa"/>
            <w:bottom w:w="0" w:type="dxa"/>
            <w:right w:w="108" w:type="dxa"/>
          </w:tblCellMar>
        </w:tblPrEx>
        <w:trPr>
          <w:wBefore w:w="0" w:type="dxa"/>
          <w:wAfter w:w="0" w:type="dxa"/>
          <w:trHeight w:val="2414"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color w:val="000000"/>
                <w:kern w:val="0"/>
                <w:sz w:val="28"/>
                <w:szCs w:val="28"/>
                <w:lang w:bidi="ar"/>
              </w:rPr>
            </w:pPr>
            <w:r>
              <w:rPr>
                <w:rFonts w:hint="eastAsia" w:ascii="仿宋_GB2312"/>
                <w:color w:val="000000"/>
                <w:kern w:val="0"/>
                <w:sz w:val="28"/>
                <w:szCs w:val="28"/>
                <w:lang w:bidi="ar"/>
              </w:rPr>
              <w:t>2</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color w:val="000000"/>
                <w:kern w:val="0"/>
                <w:sz w:val="28"/>
                <w:szCs w:val="28"/>
                <w:lang w:bidi="ar"/>
              </w:rPr>
            </w:pPr>
            <w:r>
              <w:rPr>
                <w:rFonts w:hint="eastAsia" w:ascii="仿宋_GB2312"/>
                <w:color w:val="000000"/>
                <w:kern w:val="0"/>
                <w:sz w:val="28"/>
                <w:szCs w:val="28"/>
                <w:lang w:bidi="ar"/>
              </w:rPr>
              <w:t>（二）构建施工安全数字化监管体系</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color w:val="000000"/>
                <w:kern w:val="0"/>
                <w:sz w:val="28"/>
                <w:szCs w:val="28"/>
                <w:lang w:bidi="ar"/>
              </w:rPr>
            </w:pPr>
            <w:r>
              <w:rPr>
                <w:rFonts w:hint="eastAsia" w:ascii="仿宋_GB2312"/>
                <w:color w:val="000000"/>
                <w:kern w:val="0"/>
                <w:sz w:val="28"/>
                <w:szCs w:val="28"/>
                <w:lang w:bidi="ar"/>
              </w:rPr>
              <w:t>1.</w:t>
            </w:r>
            <w:r>
              <w:rPr>
                <w:rFonts w:hint="eastAsia" w:ascii="仿宋_GB2312"/>
                <w:color w:val="auto"/>
                <w:kern w:val="0"/>
                <w:sz w:val="28"/>
                <w:szCs w:val="28"/>
                <w:lang w:eastAsia="zh-CN" w:bidi="ar"/>
              </w:rPr>
              <w:t>贯彻落实上级有关</w:t>
            </w:r>
            <w:r>
              <w:rPr>
                <w:rFonts w:hint="eastAsia" w:ascii="仿宋_GB2312"/>
                <w:color w:val="auto"/>
                <w:kern w:val="0"/>
                <w:sz w:val="28"/>
                <w:szCs w:val="28"/>
                <w:lang w:bidi="ar"/>
              </w:rPr>
              <w:t>施</w:t>
            </w:r>
            <w:r>
              <w:rPr>
                <w:rFonts w:hint="eastAsia" w:ascii="仿宋_GB2312"/>
                <w:color w:val="000000"/>
                <w:kern w:val="0"/>
                <w:sz w:val="28"/>
                <w:szCs w:val="28"/>
                <w:lang w:bidi="ar"/>
              </w:rPr>
              <w:t>工企业资质和安全生产许可条件动态核查和监测预警机制。</w:t>
            </w:r>
            <w:r>
              <w:rPr>
                <w:rFonts w:hint="eastAsia" w:ascii="仿宋_GB2312"/>
                <w:color w:val="000000"/>
                <w:kern w:val="0"/>
                <w:sz w:val="28"/>
                <w:szCs w:val="28"/>
                <w:lang w:bidi="ar"/>
              </w:rPr>
              <w:br w:type="textWrapping"/>
            </w:r>
            <w:r>
              <w:rPr>
                <w:rFonts w:hint="eastAsia" w:ascii="仿宋_GB2312"/>
                <w:color w:val="000000"/>
                <w:kern w:val="0"/>
                <w:sz w:val="28"/>
                <w:szCs w:val="28"/>
                <w:lang w:bidi="ar"/>
              </w:rPr>
              <w:t>2.2024年底前，</w:t>
            </w:r>
            <w:r>
              <w:rPr>
                <w:rFonts w:hint="eastAsia" w:ascii="仿宋_GB2312"/>
                <w:color w:val="auto"/>
                <w:kern w:val="0"/>
                <w:sz w:val="28"/>
                <w:szCs w:val="28"/>
                <w:lang w:eastAsia="zh-CN" w:bidi="ar"/>
              </w:rPr>
              <w:t>配合龙岩市住建局</w:t>
            </w:r>
            <w:r>
              <w:rPr>
                <w:rFonts w:hint="eastAsia" w:ascii="仿宋_GB2312"/>
                <w:color w:val="000000"/>
                <w:kern w:val="0"/>
                <w:sz w:val="28"/>
                <w:szCs w:val="28"/>
                <w:lang w:bidi="ar"/>
              </w:rPr>
              <w:t>完成建筑起重机械使用登记、备案电子证照换发工作。</w:t>
            </w:r>
            <w:r>
              <w:rPr>
                <w:rFonts w:hint="eastAsia" w:ascii="仿宋_GB2312"/>
                <w:color w:val="000000"/>
                <w:kern w:val="0"/>
                <w:sz w:val="28"/>
                <w:szCs w:val="28"/>
                <w:lang w:bidi="ar"/>
              </w:rPr>
              <w:br w:type="textWrapping"/>
            </w:r>
            <w:r>
              <w:rPr>
                <w:rFonts w:hint="eastAsia" w:ascii="仿宋_GB2312"/>
                <w:color w:val="000000"/>
                <w:kern w:val="0"/>
                <w:sz w:val="28"/>
                <w:szCs w:val="28"/>
                <w:lang w:bidi="ar"/>
              </w:rPr>
              <w:t>3.推广应用全国工程质量安全监管信息平台小程序、服务号，实现持证主体扫码亮证、刷脸验真，监管人员移动执法、动态监管。</w:t>
            </w:r>
            <w:r>
              <w:rPr>
                <w:rFonts w:hint="eastAsia" w:ascii="仿宋_GB2312"/>
                <w:color w:val="000000"/>
                <w:kern w:val="0"/>
                <w:sz w:val="28"/>
                <w:szCs w:val="28"/>
                <w:lang w:bidi="ar"/>
              </w:rPr>
              <w:br w:type="textWrapping"/>
            </w:r>
            <w:r>
              <w:rPr>
                <w:rFonts w:hint="eastAsia" w:ascii="仿宋_GB2312"/>
                <w:color w:val="000000"/>
                <w:kern w:val="0"/>
                <w:sz w:val="28"/>
                <w:szCs w:val="28"/>
                <w:lang w:bidi="ar"/>
              </w:rPr>
              <w:t>4.构建房屋市政工程施工安全数字化预警体系，及时办理警示函。</w:t>
            </w:r>
          </w:p>
        </w:tc>
      </w:tr>
      <w:tr>
        <w:tblPrEx>
          <w:tblCellMar>
            <w:top w:w="0" w:type="dxa"/>
            <w:left w:w="108" w:type="dxa"/>
            <w:bottom w:w="0" w:type="dxa"/>
            <w:right w:w="108" w:type="dxa"/>
          </w:tblCellMar>
        </w:tblPrEx>
        <w:trPr>
          <w:wBefore w:w="0" w:type="dxa"/>
          <w:wAfter w:w="0" w:type="dxa"/>
          <w:trHeight w:val="6718"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3</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（三）完善市场现场监管有效联动机制</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仿宋_GB2312"/>
                <w:color w:val="000000"/>
                <w:sz w:val="28"/>
                <w:szCs w:val="28"/>
              </w:rPr>
            </w:pPr>
            <w:r>
              <w:rPr>
                <w:rFonts w:hint="eastAsia" w:ascii="仿宋_GB2312"/>
                <w:color w:val="000000"/>
                <w:kern w:val="0"/>
                <w:sz w:val="28"/>
                <w:szCs w:val="28"/>
                <w:lang w:bidi="ar"/>
              </w:rPr>
              <w:t>1.加强招投标项目、在建施工项目检查，每年开展“双随机”检查不少于2次。</w:t>
            </w:r>
            <w:r>
              <w:rPr>
                <w:rFonts w:hint="eastAsia" w:ascii="仿宋_GB2312"/>
                <w:color w:val="000000"/>
                <w:kern w:val="0"/>
                <w:sz w:val="28"/>
                <w:szCs w:val="28"/>
                <w:lang w:bidi="ar"/>
              </w:rPr>
              <w:br w:type="textWrapping"/>
            </w:r>
            <w:r>
              <w:rPr>
                <w:rFonts w:hint="eastAsia" w:ascii="仿宋_GB2312"/>
                <w:color w:val="000000"/>
                <w:kern w:val="0"/>
                <w:sz w:val="28"/>
                <w:szCs w:val="28"/>
                <w:lang w:bidi="ar"/>
              </w:rPr>
              <w:t>2.</w:t>
            </w:r>
            <w:r>
              <w:rPr>
                <w:rFonts w:hint="eastAsia" w:ascii="仿宋_GB2312"/>
                <w:color w:val="auto"/>
                <w:kern w:val="0"/>
                <w:sz w:val="28"/>
                <w:szCs w:val="28"/>
                <w:lang w:eastAsia="zh-CN" w:bidi="ar"/>
              </w:rPr>
              <w:t>贯彻落实上级有关</w:t>
            </w:r>
            <w:r>
              <w:rPr>
                <w:rFonts w:hint="eastAsia" w:ascii="仿宋_GB2312"/>
                <w:color w:val="auto"/>
                <w:kern w:val="0"/>
                <w:sz w:val="28"/>
                <w:szCs w:val="28"/>
                <w:lang w:bidi="ar"/>
              </w:rPr>
              <w:t>资质、市场、现场联动监管机制，规范招投标各方主体行为。</w:t>
            </w:r>
            <w:r>
              <w:rPr>
                <w:rFonts w:hint="eastAsia" w:ascii="仿宋_GB2312"/>
                <w:color w:val="auto"/>
                <w:kern w:val="0"/>
                <w:sz w:val="28"/>
                <w:szCs w:val="28"/>
                <w:lang w:bidi="ar"/>
              </w:rPr>
              <w:br w:type="textWrapping"/>
            </w:r>
            <w:r>
              <w:rPr>
                <w:rFonts w:hint="eastAsia" w:ascii="仿宋_GB2312"/>
                <w:color w:val="auto"/>
                <w:kern w:val="0"/>
                <w:sz w:val="28"/>
                <w:szCs w:val="28"/>
                <w:lang w:bidi="ar"/>
              </w:rPr>
              <w:t>3.</w:t>
            </w:r>
            <w:r>
              <w:rPr>
                <w:rFonts w:hint="eastAsia" w:ascii="仿宋_GB2312"/>
                <w:color w:val="auto"/>
                <w:kern w:val="0"/>
                <w:sz w:val="28"/>
                <w:szCs w:val="28"/>
                <w:lang w:eastAsia="zh-CN" w:bidi="ar"/>
              </w:rPr>
              <w:t>配合龙岩市住建局</w:t>
            </w:r>
            <w:r>
              <w:rPr>
                <w:rFonts w:hint="eastAsia" w:ascii="仿宋_GB2312"/>
                <w:color w:val="000000"/>
                <w:kern w:val="0"/>
                <w:sz w:val="28"/>
                <w:szCs w:val="28"/>
                <w:lang w:bidi="ar"/>
              </w:rPr>
              <w:t>完成安许证审批、安管人员考核系统功能优化</w:t>
            </w:r>
            <w:r>
              <w:rPr>
                <w:rFonts w:hint="eastAsia" w:ascii="仿宋_GB2312"/>
                <w:color w:val="000000"/>
                <w:kern w:val="0"/>
                <w:sz w:val="28"/>
                <w:szCs w:val="28"/>
                <w:lang w:eastAsia="zh-CN" w:bidi="ar"/>
              </w:rPr>
              <w:t>，</w:t>
            </w:r>
            <w:r>
              <w:rPr>
                <w:rFonts w:hint="eastAsia" w:ascii="仿宋_GB2312"/>
                <w:color w:val="000000"/>
                <w:kern w:val="0"/>
                <w:sz w:val="28"/>
                <w:szCs w:val="28"/>
                <w:lang w:bidi="ar"/>
              </w:rPr>
              <w:t>对不能满足人员配备要求、未设置安全生产管理机构、事故（隐患）多发频发的企业及项目开展重点监管。</w:t>
            </w:r>
            <w:r>
              <w:rPr>
                <w:rFonts w:hint="eastAsia" w:ascii="仿宋_GB2312"/>
                <w:color w:val="000000"/>
                <w:kern w:val="0"/>
                <w:sz w:val="28"/>
                <w:szCs w:val="28"/>
                <w:lang w:bidi="ar"/>
              </w:rPr>
              <w:br w:type="textWrapping"/>
            </w:r>
            <w:r>
              <w:rPr>
                <w:rFonts w:hint="eastAsia" w:ascii="仿宋_GB2312"/>
                <w:color w:val="000000"/>
                <w:kern w:val="0"/>
                <w:sz w:val="28"/>
                <w:szCs w:val="28"/>
                <w:lang w:bidi="ar"/>
              </w:rPr>
              <w:t>4.2024年底前，依托安管人员考核系统和安许证审批系统，依法依规严格限制因生产安全事故暂扣、吊销安全生产许可证的建筑施工企业参加招标投标活动、承揽新的工程项目，对未持有效安全生产许可证的建筑施工企业承接的工程项目，不得颁发施工许可证。</w:t>
            </w:r>
            <w:r>
              <w:rPr>
                <w:rFonts w:hint="eastAsia" w:ascii="仿宋_GB2312"/>
                <w:color w:val="000000"/>
                <w:kern w:val="0"/>
                <w:sz w:val="28"/>
                <w:szCs w:val="28"/>
                <w:lang w:bidi="ar"/>
              </w:rPr>
              <w:br w:type="textWrapping"/>
            </w:r>
            <w:r>
              <w:rPr>
                <w:rFonts w:hint="eastAsia" w:ascii="仿宋_GB2312"/>
                <w:color w:val="000000"/>
                <w:kern w:val="0"/>
                <w:sz w:val="28"/>
                <w:szCs w:val="28"/>
                <w:lang w:bidi="ar"/>
              </w:rPr>
              <w:t>5.依托全国工程质量安全监管信息平台、建筑市场监管公共服务平台和建筑工人管理服务信息平台，以及福建省劳务实名制管理平台、全省监管一体化平台、安全检查“四不两直”系统，开展项目关键岗位人员自动监管评价记分，督促企业、项目负责人通过安全检查“四不两直”系统开展带班检查。</w:t>
            </w:r>
            <w:r>
              <w:rPr>
                <w:rFonts w:hint="eastAsia" w:ascii="仿宋_GB2312"/>
                <w:color w:val="000000"/>
                <w:kern w:val="0"/>
                <w:sz w:val="28"/>
                <w:szCs w:val="28"/>
                <w:lang w:bidi="ar"/>
              </w:rPr>
              <w:br w:type="textWrapping"/>
            </w:r>
            <w:r>
              <w:rPr>
                <w:rFonts w:hint="eastAsia" w:ascii="仿宋_GB2312"/>
                <w:color w:val="000000"/>
                <w:kern w:val="0"/>
                <w:sz w:val="28"/>
                <w:szCs w:val="28"/>
                <w:lang w:bidi="ar"/>
              </w:rPr>
              <w:t>6.实行特种作业人员进场登记、实名制打卡制度，依托建机安拆等危大工程及动火作业审批信息化管控，加强特种作业人员备案登记。</w:t>
            </w:r>
          </w:p>
        </w:tc>
      </w:tr>
      <w:tr>
        <w:tblPrEx>
          <w:tblCellMar>
            <w:top w:w="0" w:type="dxa"/>
            <w:left w:w="108" w:type="dxa"/>
            <w:bottom w:w="0" w:type="dxa"/>
            <w:right w:w="108" w:type="dxa"/>
          </w:tblCellMar>
        </w:tblPrEx>
        <w:trPr>
          <w:wBefore w:w="0" w:type="dxa"/>
          <w:wAfter w:w="0" w:type="dxa"/>
          <w:trHeight w:val="4034"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4</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（四）提升安全生产监督执法能力</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color w:val="000000"/>
                <w:kern w:val="0"/>
                <w:sz w:val="28"/>
                <w:szCs w:val="28"/>
                <w:lang w:bidi="ar"/>
              </w:rPr>
            </w:pPr>
            <w:r>
              <w:rPr>
                <w:rFonts w:hint="eastAsia" w:ascii="仿宋_GB2312"/>
                <w:color w:val="000000"/>
                <w:kern w:val="0"/>
                <w:sz w:val="28"/>
                <w:szCs w:val="28"/>
                <w:lang w:bidi="ar"/>
              </w:rPr>
              <w:t>1.坚持“一案一倒查”，对发生安全生产事故的项目一律公开曝光，一律信用扣分，一律倒查建筑市场行为，涉及国资的一律通报国资监管部门。</w:t>
            </w:r>
            <w:r>
              <w:rPr>
                <w:rFonts w:hint="eastAsia" w:ascii="仿宋_GB2312"/>
                <w:color w:val="000000"/>
                <w:kern w:val="0"/>
                <w:sz w:val="28"/>
                <w:szCs w:val="28"/>
                <w:lang w:bidi="ar"/>
              </w:rPr>
              <w:br w:type="textWrapping"/>
            </w:r>
            <w:r>
              <w:rPr>
                <w:rFonts w:hint="eastAsia" w:ascii="仿宋_GB2312"/>
                <w:color w:val="000000"/>
                <w:kern w:val="0"/>
                <w:sz w:val="28"/>
                <w:szCs w:val="28"/>
                <w:lang w:bidi="ar"/>
              </w:rPr>
              <w:t>2.</w:t>
            </w:r>
            <w:r>
              <w:rPr>
                <w:rFonts w:hint="eastAsia" w:ascii="仿宋_GB2312"/>
                <w:color w:val="000000"/>
                <w:kern w:val="0"/>
                <w:sz w:val="28"/>
                <w:szCs w:val="28"/>
                <w:lang w:eastAsia="zh-CN" w:bidi="ar"/>
              </w:rPr>
              <w:t>对发生事故后</w:t>
            </w:r>
            <w:r>
              <w:rPr>
                <w:rFonts w:hint="eastAsia" w:ascii="仿宋_GB2312"/>
                <w:color w:val="000000"/>
                <w:kern w:val="0"/>
                <w:sz w:val="28"/>
                <w:szCs w:val="28"/>
                <w:lang w:bidi="ar"/>
              </w:rPr>
              <w:t>迟报、漏报、谎报、瞒报事故的单位和个人</w:t>
            </w:r>
            <w:r>
              <w:rPr>
                <w:rFonts w:hint="eastAsia" w:ascii="仿宋_GB2312"/>
                <w:color w:val="000000"/>
                <w:kern w:val="0"/>
                <w:sz w:val="28"/>
                <w:szCs w:val="28"/>
                <w:lang w:eastAsia="zh-CN" w:bidi="ar"/>
              </w:rPr>
              <w:t>进行严肃查处</w:t>
            </w:r>
            <w:r>
              <w:rPr>
                <w:rFonts w:hint="eastAsia" w:ascii="仿宋_GB2312"/>
                <w:color w:val="000000"/>
                <w:kern w:val="0"/>
                <w:sz w:val="28"/>
                <w:szCs w:val="28"/>
                <w:lang w:bidi="ar"/>
              </w:rPr>
              <w:t>。</w:t>
            </w:r>
            <w:r>
              <w:rPr>
                <w:rFonts w:hint="eastAsia" w:ascii="仿宋_GB2312"/>
                <w:color w:val="000000"/>
                <w:kern w:val="0"/>
                <w:sz w:val="28"/>
                <w:szCs w:val="28"/>
                <w:lang w:bidi="ar"/>
              </w:rPr>
              <w:br w:type="textWrapping"/>
            </w:r>
            <w:r>
              <w:rPr>
                <w:rFonts w:hint="eastAsia" w:ascii="仿宋_GB2312"/>
                <w:color w:val="000000"/>
                <w:kern w:val="0"/>
                <w:sz w:val="28"/>
                <w:szCs w:val="28"/>
                <w:lang w:val="en-US" w:eastAsia="zh-CN" w:bidi="ar"/>
              </w:rPr>
              <w:t>3</w:t>
            </w:r>
            <w:r>
              <w:rPr>
                <w:rFonts w:hint="eastAsia" w:ascii="仿宋_GB2312"/>
                <w:color w:val="000000"/>
                <w:kern w:val="0"/>
                <w:sz w:val="28"/>
                <w:szCs w:val="28"/>
                <w:lang w:bidi="ar"/>
              </w:rPr>
              <w:t>.通过安全检查“四不两直”系统，结合“一月一主题”专项治理，精准实施短频快的专项检查。</w:t>
            </w:r>
          </w:p>
          <w:p>
            <w:pPr>
              <w:widowControl/>
              <w:spacing w:line="300" w:lineRule="exact"/>
              <w:textAlignment w:val="center"/>
              <w:rPr>
                <w:rFonts w:hint="eastAsia" w:ascii="仿宋_GB2312"/>
                <w:color w:val="000000"/>
                <w:kern w:val="0"/>
                <w:sz w:val="28"/>
                <w:szCs w:val="28"/>
                <w:lang w:bidi="ar"/>
              </w:rPr>
            </w:pPr>
            <w:r>
              <w:rPr>
                <w:rFonts w:hint="eastAsia" w:ascii="仿宋_GB2312"/>
                <w:color w:val="000000"/>
                <w:kern w:val="0"/>
                <w:sz w:val="28"/>
                <w:szCs w:val="28"/>
                <w:lang w:val="en-US" w:eastAsia="zh-CN" w:bidi="ar"/>
              </w:rPr>
              <w:t>4</w:t>
            </w:r>
            <w:r>
              <w:rPr>
                <w:rFonts w:hint="eastAsia" w:ascii="仿宋_GB2312"/>
                <w:color w:val="000000"/>
                <w:kern w:val="0"/>
                <w:sz w:val="28"/>
                <w:szCs w:val="28"/>
                <w:lang w:bidi="ar"/>
              </w:rPr>
              <w:t>.组织开展摸底排查，重点整治市政工程、政府投资工程不履行基本建设程序的行为，严厉打击违法建设、不依法申领施工许可就擅自开工、工程技术资料归档不及时或不真实等现象，建立台账，依法依规严肃查处。</w:t>
            </w:r>
          </w:p>
        </w:tc>
      </w:tr>
      <w:tr>
        <w:tblPrEx>
          <w:tblCellMar>
            <w:top w:w="0" w:type="dxa"/>
            <w:left w:w="108" w:type="dxa"/>
            <w:bottom w:w="0" w:type="dxa"/>
            <w:right w:w="108" w:type="dxa"/>
          </w:tblCellMar>
        </w:tblPrEx>
        <w:trPr>
          <w:wBefore w:w="0" w:type="dxa"/>
          <w:wAfter w:w="0" w:type="dxa"/>
          <w:trHeight w:val="3653"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5</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（五）提高企业本质安全水平</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color w:val="000000"/>
                <w:sz w:val="28"/>
                <w:szCs w:val="28"/>
              </w:rPr>
            </w:pPr>
            <w:r>
              <w:rPr>
                <w:rFonts w:hint="eastAsia" w:ascii="仿宋_GB2312"/>
                <w:color w:val="000000"/>
                <w:kern w:val="0"/>
                <w:sz w:val="28"/>
                <w:szCs w:val="28"/>
                <w:lang w:bidi="ar"/>
              </w:rPr>
              <w:t>1.督促施工企业、项目严格落实全员安全生产责任制，足额配备安全生产管理人员，全面推行项目安全总监和专职安全生产管理人员企业委派制度。</w:t>
            </w:r>
            <w:r>
              <w:rPr>
                <w:rFonts w:hint="eastAsia" w:ascii="仿宋_GB2312"/>
                <w:color w:val="000000"/>
                <w:kern w:val="0"/>
                <w:sz w:val="28"/>
                <w:szCs w:val="28"/>
                <w:lang w:bidi="ar"/>
              </w:rPr>
              <w:br w:type="textWrapping"/>
            </w:r>
            <w:r>
              <w:rPr>
                <w:rFonts w:hint="eastAsia" w:ascii="仿宋_GB2312"/>
                <w:color w:val="000000"/>
                <w:kern w:val="0"/>
                <w:sz w:val="28"/>
                <w:szCs w:val="28"/>
                <w:lang w:bidi="ar"/>
              </w:rPr>
              <w:t>2.督促施工企业、项目完善安全生产管理人员检查流程和一线作业人员操作标准，严格落实“施工安全日志”制度，安全员通过安全检查“四不两直”系统打卡时应同步上传前一日“施工安全日志”，探索实行电子“安全日志”，实行专职安全生产管理人员佩戴安全生产检查记录仪上岗，规范关键岗位人员的履职行为。</w:t>
            </w:r>
            <w:r>
              <w:rPr>
                <w:rFonts w:hint="eastAsia" w:ascii="仿宋_GB2312"/>
                <w:color w:val="000000"/>
                <w:kern w:val="0"/>
                <w:sz w:val="28"/>
                <w:szCs w:val="28"/>
                <w:lang w:bidi="ar"/>
              </w:rPr>
              <w:br w:type="textWrapping"/>
            </w:r>
            <w:r>
              <w:rPr>
                <w:rFonts w:hint="eastAsia" w:ascii="仿宋_GB2312"/>
                <w:color w:val="000000"/>
                <w:kern w:val="0"/>
                <w:sz w:val="28"/>
                <w:szCs w:val="28"/>
                <w:lang w:bidi="ar"/>
              </w:rPr>
              <w:t>3.指导在建项目施工企业落实《福建省建筑业企业安全生产费用提取管理办法》。</w:t>
            </w:r>
            <w:r>
              <w:rPr>
                <w:rFonts w:hint="eastAsia" w:ascii="仿宋_GB2312"/>
                <w:color w:val="000000"/>
                <w:kern w:val="0"/>
                <w:sz w:val="28"/>
                <w:szCs w:val="28"/>
                <w:lang w:bidi="ar"/>
              </w:rPr>
              <w:br w:type="textWrapping"/>
            </w:r>
            <w:r>
              <w:rPr>
                <w:rFonts w:hint="eastAsia" w:ascii="仿宋_GB2312"/>
                <w:color w:val="000000"/>
                <w:kern w:val="0"/>
                <w:sz w:val="28"/>
                <w:szCs w:val="28"/>
                <w:lang w:bidi="ar"/>
              </w:rPr>
              <w:t>4.督促在建项目严格执行《福建省房屋市政工程安全生产责任保险实施办法》《福建省房屋市政工程安全生产责任保险工作标准》，推动在建项目100%落实安责险制度。</w:t>
            </w:r>
            <w:r>
              <w:rPr>
                <w:rFonts w:hint="eastAsia" w:ascii="仿宋_GB2312"/>
                <w:color w:val="000000"/>
                <w:kern w:val="0"/>
                <w:sz w:val="28"/>
                <w:szCs w:val="28"/>
                <w:lang w:bidi="ar"/>
              </w:rPr>
              <w:br w:type="textWrapping"/>
            </w:r>
            <w:r>
              <w:rPr>
                <w:rFonts w:hint="eastAsia" w:ascii="仿宋_GB2312"/>
                <w:color w:val="000000"/>
                <w:kern w:val="0"/>
                <w:sz w:val="28"/>
                <w:szCs w:val="28"/>
                <w:lang w:bidi="ar"/>
              </w:rPr>
              <w:t>5.2026年底前，</w:t>
            </w:r>
            <w:r>
              <w:rPr>
                <w:rFonts w:hint="eastAsia" w:ascii="仿宋_GB2312"/>
                <w:color w:val="auto"/>
                <w:kern w:val="0"/>
                <w:sz w:val="28"/>
                <w:szCs w:val="28"/>
                <w:lang w:eastAsia="zh-CN" w:bidi="ar"/>
              </w:rPr>
              <w:t>配合龙岩市住建局</w:t>
            </w:r>
            <w:r>
              <w:rPr>
                <w:rFonts w:hint="eastAsia" w:ascii="仿宋_GB2312"/>
                <w:color w:val="000000"/>
                <w:kern w:val="0"/>
                <w:sz w:val="28"/>
                <w:szCs w:val="28"/>
                <w:lang w:bidi="ar"/>
              </w:rPr>
              <w:t>建成房屋市政工程安全生产关键岗位人员考核、培训信息数据库。</w:t>
            </w:r>
            <w:r>
              <w:rPr>
                <w:rFonts w:hint="eastAsia" w:ascii="仿宋_GB2312"/>
                <w:color w:val="000000"/>
                <w:kern w:val="0"/>
                <w:sz w:val="28"/>
                <w:szCs w:val="28"/>
                <w:lang w:bidi="ar"/>
              </w:rPr>
              <w:br w:type="textWrapping"/>
            </w:r>
            <w:r>
              <w:rPr>
                <w:rFonts w:hint="eastAsia" w:ascii="仿宋_GB2312"/>
                <w:color w:val="000000"/>
                <w:kern w:val="0"/>
                <w:sz w:val="28"/>
                <w:szCs w:val="28"/>
                <w:lang w:bidi="ar"/>
              </w:rPr>
              <w:t>6.深入推进房屋市政工程安全生产标准化评价工作，提升施工现场科学化、标准化管理水平。</w:t>
            </w:r>
          </w:p>
        </w:tc>
      </w:tr>
      <w:tr>
        <w:tblPrEx>
          <w:tblCellMar>
            <w:top w:w="0" w:type="dxa"/>
            <w:left w:w="108" w:type="dxa"/>
            <w:bottom w:w="0" w:type="dxa"/>
            <w:right w:w="108" w:type="dxa"/>
          </w:tblCellMar>
        </w:tblPrEx>
        <w:trPr>
          <w:wBefore w:w="0" w:type="dxa"/>
          <w:wAfter w:w="0" w:type="dxa"/>
          <w:trHeight w:val="3212"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6</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（六）加强安全生产文化建设</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textAlignment w:val="center"/>
              <w:rPr>
                <w:rFonts w:hint="eastAsia" w:ascii="仿宋_GB2312"/>
                <w:color w:val="000000"/>
                <w:sz w:val="28"/>
                <w:szCs w:val="28"/>
              </w:rPr>
            </w:pPr>
            <w:r>
              <w:rPr>
                <w:rFonts w:hint="eastAsia" w:ascii="仿宋_GB2312"/>
                <w:color w:val="000000"/>
                <w:kern w:val="0"/>
                <w:sz w:val="28"/>
                <w:szCs w:val="28"/>
                <w:lang w:bidi="ar"/>
              </w:rPr>
              <w:t>1.落实《福建省住建领域重大事故隐患举报奖励暂行办法》。</w:t>
            </w:r>
            <w:r>
              <w:rPr>
                <w:rFonts w:hint="eastAsia" w:ascii="仿宋_GB2312"/>
                <w:color w:val="000000"/>
                <w:kern w:val="0"/>
                <w:sz w:val="28"/>
                <w:szCs w:val="28"/>
                <w:lang w:bidi="ar"/>
              </w:rPr>
              <w:br w:type="textWrapping"/>
            </w:r>
            <w:r>
              <w:rPr>
                <w:rFonts w:hint="eastAsia" w:ascii="仿宋_GB2312"/>
                <w:color w:val="000000"/>
                <w:kern w:val="0"/>
                <w:sz w:val="28"/>
                <w:szCs w:val="28"/>
                <w:lang w:bidi="ar"/>
              </w:rPr>
              <w:t>2.督促建筑施工企业要对新员工进行至少32学时的安全培训，每年进行至少20学时的再培训；完善和落实师傅带徒弟制度，特种作业人员实习至少3个月后方可独立上岗，鼓励应用特种作业模拟仿真实训系统。</w:t>
            </w:r>
            <w:r>
              <w:rPr>
                <w:rFonts w:hint="eastAsia" w:ascii="仿宋_GB2312"/>
                <w:color w:val="000000"/>
                <w:kern w:val="0"/>
                <w:sz w:val="28"/>
                <w:szCs w:val="28"/>
                <w:lang w:bidi="ar"/>
              </w:rPr>
              <w:br w:type="textWrapping"/>
            </w:r>
            <w:r>
              <w:rPr>
                <w:rFonts w:hint="eastAsia" w:ascii="仿宋_GB2312"/>
                <w:color w:val="000000"/>
                <w:kern w:val="0"/>
                <w:sz w:val="28"/>
                <w:szCs w:val="28"/>
                <w:lang w:bidi="ar"/>
              </w:rPr>
              <w:t>3.指导企业创新教育形式，综合运用事故分析、警示教育、专题培训、模拟事故体验等。</w:t>
            </w:r>
            <w:r>
              <w:rPr>
                <w:rFonts w:hint="eastAsia" w:ascii="仿宋_GB2312"/>
                <w:color w:val="000000"/>
                <w:kern w:val="0"/>
                <w:sz w:val="28"/>
                <w:szCs w:val="28"/>
                <w:lang w:bidi="ar"/>
              </w:rPr>
              <w:br w:type="textWrapping"/>
            </w:r>
            <w:r>
              <w:rPr>
                <w:rFonts w:hint="eastAsia" w:ascii="仿宋_GB2312"/>
                <w:color w:val="000000"/>
                <w:kern w:val="0"/>
                <w:sz w:val="28"/>
                <w:szCs w:val="28"/>
                <w:lang w:bidi="ar"/>
              </w:rPr>
              <w:t>4.开展“安全生产月”及现场咨询日活动，采取编制施工安全图集、画册，拍摄宣传片、警示教育片等多种形式开展宣传，引导企业持续开展安全生产文化建设。</w:t>
            </w:r>
          </w:p>
        </w:tc>
      </w:tr>
      <w:tr>
        <w:tblPrEx>
          <w:tblCellMar>
            <w:top w:w="0" w:type="dxa"/>
            <w:left w:w="108" w:type="dxa"/>
            <w:bottom w:w="0" w:type="dxa"/>
            <w:right w:w="108" w:type="dxa"/>
          </w:tblCellMar>
        </w:tblPrEx>
        <w:trPr>
          <w:wBefore w:w="0" w:type="dxa"/>
          <w:wAfter w:w="0" w:type="dxa"/>
          <w:trHeight w:val="3960" w:hRule="atLeast"/>
        </w:trPr>
        <w:tc>
          <w:tcPr>
            <w:tcW w:w="74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7</w:t>
            </w:r>
          </w:p>
        </w:tc>
        <w:tc>
          <w:tcPr>
            <w:tcW w:w="15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仿宋_GB2312"/>
                <w:color w:val="000000"/>
                <w:sz w:val="28"/>
                <w:szCs w:val="28"/>
              </w:rPr>
            </w:pPr>
            <w:r>
              <w:rPr>
                <w:rFonts w:hint="eastAsia" w:ascii="仿宋_GB2312"/>
                <w:color w:val="000000"/>
                <w:kern w:val="0"/>
                <w:sz w:val="28"/>
                <w:szCs w:val="28"/>
                <w:lang w:bidi="ar"/>
              </w:rPr>
              <w:t>（七）夯实安全生产基础</w:t>
            </w:r>
          </w:p>
        </w:tc>
        <w:tc>
          <w:tcPr>
            <w:tcW w:w="116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textAlignment w:val="center"/>
              <w:rPr>
                <w:rFonts w:hint="eastAsia" w:ascii="仿宋_GB2312"/>
                <w:color w:val="000000"/>
                <w:sz w:val="28"/>
                <w:szCs w:val="28"/>
              </w:rPr>
            </w:pPr>
            <w:r>
              <w:rPr>
                <w:rFonts w:hint="eastAsia" w:ascii="仿宋_GB2312"/>
                <w:color w:val="000000"/>
                <w:kern w:val="0"/>
                <w:sz w:val="28"/>
                <w:szCs w:val="28"/>
                <w:lang w:bidi="ar"/>
              </w:rPr>
              <w:t>1.落实《福建省住宅质量分户验收管理办法》，进一步规范落实住宅分户验收管理工作，保障住宅工程质量和使用功能。</w:t>
            </w:r>
            <w:r>
              <w:rPr>
                <w:rFonts w:hint="eastAsia" w:ascii="仿宋_GB2312"/>
                <w:color w:val="000000"/>
                <w:kern w:val="0"/>
                <w:sz w:val="28"/>
                <w:szCs w:val="28"/>
                <w:lang w:bidi="ar"/>
              </w:rPr>
              <w:br w:type="textWrapping"/>
            </w:r>
            <w:r>
              <w:rPr>
                <w:rFonts w:hint="eastAsia" w:ascii="仿宋_GB2312"/>
                <w:color w:val="000000"/>
                <w:kern w:val="0"/>
                <w:sz w:val="28"/>
                <w:szCs w:val="28"/>
                <w:lang w:bidi="ar"/>
              </w:rPr>
              <w:t>2.落实《福建省建设工程质量检测管理实施细则》和《福建省房屋市政工程质量检测机构信用评价细则》，规范工程质量检测行为。</w:t>
            </w:r>
            <w:r>
              <w:rPr>
                <w:rFonts w:hint="eastAsia" w:ascii="仿宋_GB2312"/>
                <w:color w:val="000000"/>
                <w:kern w:val="0"/>
                <w:sz w:val="28"/>
                <w:szCs w:val="28"/>
                <w:lang w:bidi="ar"/>
              </w:rPr>
              <w:br w:type="textWrapping"/>
            </w:r>
            <w:r>
              <w:rPr>
                <w:rFonts w:hint="eastAsia" w:ascii="仿宋_GB2312"/>
                <w:color w:val="000000"/>
                <w:kern w:val="0"/>
                <w:sz w:val="28"/>
                <w:szCs w:val="28"/>
                <w:lang w:bidi="ar"/>
              </w:rPr>
              <w:t>3.落实《福建省预拌混凝土质量管理办法》，严格预拌混凝土质量管理，加强对混凝土实体质量抽测，持续组织开展预拌混凝土用砂抽查抽测，保证工程结构安全。</w:t>
            </w:r>
            <w:r>
              <w:rPr>
                <w:rFonts w:hint="eastAsia" w:ascii="仿宋_GB2312"/>
                <w:color w:val="000000"/>
                <w:kern w:val="0"/>
                <w:sz w:val="28"/>
                <w:szCs w:val="28"/>
                <w:lang w:bidi="ar"/>
              </w:rPr>
              <w:br w:type="textWrapping"/>
            </w:r>
            <w:r>
              <w:rPr>
                <w:rFonts w:hint="eastAsia" w:ascii="仿宋_GB2312"/>
                <w:color w:val="000000"/>
                <w:kern w:val="0"/>
                <w:sz w:val="28"/>
                <w:szCs w:val="28"/>
                <w:lang w:bidi="ar"/>
              </w:rPr>
              <w:t>4.2024年，紧盯“保安全、抓质量、强基础”，推进落实12个专题行动（关键人员到岗履职、危大工程标准化管控、规范起重机械安拆作业、提升文明施工水平、施工现场消防治理、高处作业安全、吊篮安全治理、桩基质量管控、混凝土结构工程质量提升、质量常见问题治理、工程质量检测机构检测行为管控、智慧工地），每月专项推进。</w:t>
            </w:r>
            <w:r>
              <w:rPr>
                <w:rFonts w:hint="eastAsia" w:ascii="仿宋_GB2312"/>
                <w:color w:val="000000"/>
                <w:kern w:val="0"/>
                <w:sz w:val="28"/>
                <w:szCs w:val="28"/>
                <w:lang w:bidi="ar"/>
              </w:rPr>
              <w:br w:type="textWrapping"/>
            </w:r>
            <w:r>
              <w:rPr>
                <w:rFonts w:hint="eastAsia" w:ascii="仿宋_GB2312"/>
                <w:color w:val="000000"/>
                <w:kern w:val="0"/>
                <w:sz w:val="28"/>
                <w:szCs w:val="28"/>
                <w:lang w:bidi="ar"/>
              </w:rPr>
              <w:t>5.2025年、2026年根据安全生产形势分析，深入推进专项治理，聚焦关键问题，精准实施专项检查。</w:t>
            </w:r>
          </w:p>
        </w:tc>
      </w:tr>
    </w:tbl>
    <w:p>
      <w:pPr>
        <w:spacing w:before="50" w:line="540" w:lineRule="exact"/>
        <w:ind w:firstLine="280" w:firstLineChars="100"/>
        <w:rPr>
          <w:sz w:val="28"/>
          <w:szCs w:val="28"/>
        </w:rPr>
      </w:pPr>
      <w:r>
        <w:rPr>
          <w:sz w:val="28"/>
          <w:szCs w:val="28"/>
        </w:rPr>
        <w:t xml:space="preserve">  </w:t>
      </w:r>
      <w:bookmarkEnd w:id="0"/>
    </w:p>
    <w:sectPr>
      <w:headerReference r:id="rId3" w:type="default"/>
      <w:footerReference r:id="rId5" w:type="default"/>
      <w:headerReference r:id="rId4" w:type="even"/>
      <w:footerReference r:id="rId6" w:type="even"/>
      <w:pgSz w:w="16838" w:h="11906" w:orient="landscape"/>
      <w:pgMar w:top="1474" w:right="1985" w:bottom="1587" w:left="2098" w:header="851" w:footer="1587" w:gutter="0"/>
      <w:paperSrc/>
      <w:pgNumType w:fmt="numberInDash"/>
      <w:cols w:space="720" w:num="1"/>
      <w:rtlGutter w:val="0"/>
      <w:docGrid w:type="linesAndChar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4EC9D90-B723-4911-B17A-D32A7A641C8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70BC0A7-14C9-4BB5-AFC1-2B31ABD41808}"/>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3" w:fontKey="{1ADEC259-D986-416D-884F-AB1CC0A99F95}"/>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- 21 -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rPr>
                      <w:t>- 21 -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280" w:firstLineChars="100"/>
                            <w:rPr>
                              <w:rStyle w:val="9"/>
                              <w:rFonts w:hint="eastAsia"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lang/>
                            </w:rPr>
                            <w:t>- 20 -</w:t>
                          </w:r>
                          <w:r>
                            <w:rPr>
                              <w:rFonts w:hint="eastAsia"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ind w:firstLine="280" w:firstLineChars="100"/>
                      <w:rPr>
                        <w:rStyle w:val="9"/>
                        <w:rFonts w:hint="eastAsia"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lang/>
                      </w:rPr>
                      <w:t>- 20 -</w:t>
                    </w:r>
                    <w:r>
                      <w:rPr>
                        <w:rFonts w:hint="eastAsia" w:asci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21"/>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DMyODM5MTdlODJjMjViMDU0NzJlZGMzZThjNTcifQ=="/>
  </w:docVars>
  <w:rsids>
    <w:rsidRoot w:val="00375845"/>
    <w:rsid w:val="0002390B"/>
    <w:rsid w:val="000662C1"/>
    <w:rsid w:val="000663B9"/>
    <w:rsid w:val="000A12D0"/>
    <w:rsid w:val="000D1F88"/>
    <w:rsid w:val="001079F7"/>
    <w:rsid w:val="00112744"/>
    <w:rsid w:val="001B6A47"/>
    <w:rsid w:val="001C74D0"/>
    <w:rsid w:val="002125F1"/>
    <w:rsid w:val="002167E8"/>
    <w:rsid w:val="00262366"/>
    <w:rsid w:val="002A221C"/>
    <w:rsid w:val="002E546F"/>
    <w:rsid w:val="00312767"/>
    <w:rsid w:val="003A7386"/>
    <w:rsid w:val="003F7760"/>
    <w:rsid w:val="0042499B"/>
    <w:rsid w:val="004B1CD3"/>
    <w:rsid w:val="004C6A53"/>
    <w:rsid w:val="00577966"/>
    <w:rsid w:val="005941C0"/>
    <w:rsid w:val="005A7C59"/>
    <w:rsid w:val="005B7DE5"/>
    <w:rsid w:val="006D517B"/>
    <w:rsid w:val="007308B4"/>
    <w:rsid w:val="00754F24"/>
    <w:rsid w:val="00793C69"/>
    <w:rsid w:val="007C359C"/>
    <w:rsid w:val="007F5DE3"/>
    <w:rsid w:val="00992345"/>
    <w:rsid w:val="00995FB1"/>
    <w:rsid w:val="009D7762"/>
    <w:rsid w:val="00A65CDB"/>
    <w:rsid w:val="00A8526B"/>
    <w:rsid w:val="00A939E9"/>
    <w:rsid w:val="00BA78FE"/>
    <w:rsid w:val="00BC0AA7"/>
    <w:rsid w:val="00BF45BE"/>
    <w:rsid w:val="00C55321"/>
    <w:rsid w:val="00CA543D"/>
    <w:rsid w:val="00D02DBE"/>
    <w:rsid w:val="00D24424"/>
    <w:rsid w:val="00E259F5"/>
    <w:rsid w:val="00E9022D"/>
    <w:rsid w:val="00E90CD6"/>
    <w:rsid w:val="00ED3D30"/>
    <w:rsid w:val="00F105DB"/>
    <w:rsid w:val="00FB3221"/>
    <w:rsid w:val="02E448A1"/>
    <w:rsid w:val="05CB6429"/>
    <w:rsid w:val="07E82190"/>
    <w:rsid w:val="087E2654"/>
    <w:rsid w:val="124A48F6"/>
    <w:rsid w:val="158714E3"/>
    <w:rsid w:val="1BB8415F"/>
    <w:rsid w:val="201E1458"/>
    <w:rsid w:val="20E54FE5"/>
    <w:rsid w:val="25871AF9"/>
    <w:rsid w:val="25C17850"/>
    <w:rsid w:val="2897263E"/>
    <w:rsid w:val="29693633"/>
    <w:rsid w:val="29C17985"/>
    <w:rsid w:val="29F3476A"/>
    <w:rsid w:val="2A8750D0"/>
    <w:rsid w:val="2AEE2F06"/>
    <w:rsid w:val="2B7E2EBE"/>
    <w:rsid w:val="2D2F6758"/>
    <w:rsid w:val="2D9F0C9D"/>
    <w:rsid w:val="2DF9FEFD"/>
    <w:rsid w:val="2FC07838"/>
    <w:rsid w:val="319967CF"/>
    <w:rsid w:val="36611705"/>
    <w:rsid w:val="3757DEAE"/>
    <w:rsid w:val="37EFB596"/>
    <w:rsid w:val="394E4794"/>
    <w:rsid w:val="3C415AD8"/>
    <w:rsid w:val="3EA3A71A"/>
    <w:rsid w:val="3F4223E3"/>
    <w:rsid w:val="3FDF51C3"/>
    <w:rsid w:val="44C95645"/>
    <w:rsid w:val="4FFA6674"/>
    <w:rsid w:val="518A1B80"/>
    <w:rsid w:val="5334697A"/>
    <w:rsid w:val="546D794B"/>
    <w:rsid w:val="56AB2BB7"/>
    <w:rsid w:val="56FFE335"/>
    <w:rsid w:val="5E5A72AE"/>
    <w:rsid w:val="5F5DCE81"/>
    <w:rsid w:val="5FED5040"/>
    <w:rsid w:val="667ECE3B"/>
    <w:rsid w:val="67B11151"/>
    <w:rsid w:val="67FA9A3C"/>
    <w:rsid w:val="69EC231F"/>
    <w:rsid w:val="6F7F58B8"/>
    <w:rsid w:val="6FBFD716"/>
    <w:rsid w:val="6FE8316B"/>
    <w:rsid w:val="72522A97"/>
    <w:rsid w:val="72FFE374"/>
    <w:rsid w:val="76BC658F"/>
    <w:rsid w:val="7777E801"/>
    <w:rsid w:val="77FA9157"/>
    <w:rsid w:val="78AE02A5"/>
    <w:rsid w:val="7B6D76C4"/>
    <w:rsid w:val="7B81310D"/>
    <w:rsid w:val="7BBB2EF5"/>
    <w:rsid w:val="7C3F1909"/>
    <w:rsid w:val="7CDA0C1E"/>
    <w:rsid w:val="7DB25BC8"/>
    <w:rsid w:val="7FBD9AFB"/>
    <w:rsid w:val="7FFEB67A"/>
    <w:rsid w:val="8FFD2707"/>
    <w:rsid w:val="AF9EAE51"/>
    <w:rsid w:val="B6F3FAB6"/>
    <w:rsid w:val="B9FB3933"/>
    <w:rsid w:val="BDE9DF5C"/>
    <w:rsid w:val="C3BD3E11"/>
    <w:rsid w:val="C657EF6A"/>
    <w:rsid w:val="C76D7578"/>
    <w:rsid w:val="DBD7B572"/>
    <w:rsid w:val="DFD780F0"/>
    <w:rsid w:val="EBF75D5C"/>
    <w:rsid w:val="F6DB54C6"/>
    <w:rsid w:val="F7BFAEA8"/>
    <w:rsid w:val="F7EFEDCD"/>
    <w:rsid w:val="FD9338E5"/>
    <w:rsid w:val="FE149131"/>
    <w:rsid w:val="FE5F1462"/>
    <w:rsid w:val="FF1B0C24"/>
    <w:rsid w:val="FFDB67B7"/>
    <w:rsid w:val="FFE79A23"/>
    <w:rsid w:val="FFFF72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8">
    <w:name w:val="Default Paragraph Font"/>
    <w:uiPriority w:val="0"/>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Times New Roman" w:hAnsi="Times New Roman" w:cs="Times New Roman"/>
      <w:color w:val="0000FF"/>
    </w:r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rFonts w:ascii="Calibri" w:hAnsi="Calibri" w:eastAsia="宋体" w:cs="Times New Roman"/>
      <w:sz w:val="18"/>
      <w:szCs w:val="18"/>
      <w:lang w:bidi="ar-SA"/>
    </w:rPr>
  </w:style>
  <w:style w:type="paragraph" w:styleId="5">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6">
    <w:name w:val="Normal (Web)"/>
    <w:basedOn w:val="1"/>
    <w:qFormat/>
    <w:uiPriority w:val="0"/>
    <w:rPr>
      <w:rFonts w:ascii="Times New Roman" w:hAnsi="Times New Roman" w:cs="Times New Roman"/>
      <w:sz w:val="24"/>
    </w:rPr>
  </w:style>
  <w:style w:type="character" w:styleId="9">
    <w:name w:val="page number"/>
    <w:uiPriority w:val="0"/>
  </w:style>
  <w:style w:type="character" w:customStyle="1" w:styleId="10">
    <w:name w:val="unnamed11"/>
    <w:uiPriority w:val="0"/>
    <w:rPr>
      <w:rFonts w:ascii="宋体" w:eastAsia="宋体"/>
      <w:sz w:val="21"/>
      <w:szCs w:val="21"/>
    </w:rPr>
  </w:style>
  <w:style w:type="paragraph" w:customStyle="1" w:styleId="11">
    <w:name w:val="正文（正式）"/>
    <w:basedOn w:val="1"/>
    <w:uiPriority w:val="0"/>
    <w:pPr>
      <w:widowControl/>
      <w:spacing w:after="160" w:line="240" w:lineRule="exact"/>
      <w:jc w:val="left"/>
    </w:pPr>
    <w:rPr>
      <w:rFonts w:ascii="Verdana" w:hAnsi="Verdana"/>
      <w:kern w:val="0"/>
      <w:sz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fjjsxxzx</Company>
  <Pages>4</Pages>
  <Words>8916</Words>
  <Characters>9029</Characters>
  <Lines>78</Lines>
  <Paragraphs>22</Paragraphs>
  <TotalTime>19</TotalTime>
  <ScaleCrop>false</ScaleCrop>
  <LinksUpToDate>false</LinksUpToDate>
  <CharactersWithSpaces>9045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2024-04-30T05:02:00Z</dcterms:created>
  <dc:creator>fjjsxxzx</dc:creator>
  <cp:lastModifiedBy>冲！</cp:lastModifiedBy>
  <cp:lastPrinted>2024-06-05T08:25:32Z</cp:lastPrinted>
  <dcterms:modified xsi:type="dcterms:W3CDTF">2024-06-18T09:08:47Z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DF14B0AE5F5843D6ADCF222766F3EEE3_13</vt:lpwstr>
  </property>
</Properties>
</file>