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09" w:rsidRDefault="00481D09" w:rsidP="009F47A5">
      <w:pPr>
        <w:spacing w:line="600" w:lineRule="exact"/>
        <w:rPr>
          <w:rFonts w:eastAsia="黑体" w:hAnsi="黑体"/>
          <w:color w:val="000000"/>
          <w:kern w:val="0"/>
          <w:sz w:val="32"/>
          <w:szCs w:val="32"/>
        </w:rPr>
      </w:pPr>
      <w:r>
        <w:rPr>
          <w:rFonts w:eastAsia="黑体" w:hAnsi="黑体" w:cs="黑体" w:hint="eastAsia"/>
          <w:color w:val="000000"/>
          <w:kern w:val="0"/>
          <w:sz w:val="32"/>
          <w:szCs w:val="32"/>
        </w:rPr>
        <w:t>附件</w:t>
      </w:r>
      <w:r>
        <w:rPr>
          <w:rFonts w:eastAsia="黑体" w:hAnsi="黑体"/>
          <w:color w:val="000000"/>
          <w:kern w:val="0"/>
          <w:sz w:val="32"/>
          <w:szCs w:val="32"/>
        </w:rPr>
        <w:t>1</w:t>
      </w:r>
    </w:p>
    <w:p w:rsidR="00481D09" w:rsidRDefault="00481D09" w:rsidP="009F47A5">
      <w:pPr>
        <w:spacing w:line="600" w:lineRule="exact"/>
        <w:jc w:val="center"/>
        <w:rPr>
          <w:rFonts w:ascii="方正小标宋简体" w:eastAsia="方正小标宋简体"/>
          <w:color w:val="000000"/>
          <w:kern w:val="0"/>
          <w:sz w:val="36"/>
          <w:szCs w:val="36"/>
        </w:rPr>
      </w:pPr>
      <w:r>
        <w:rPr>
          <w:rFonts w:ascii="方正小标宋简体" w:eastAsia="方正小标宋简体" w:cs="方正小标宋简体" w:hint="eastAsia"/>
          <w:color w:val="000000"/>
          <w:kern w:val="0"/>
          <w:sz w:val="36"/>
          <w:szCs w:val="36"/>
        </w:rPr>
        <w:t>主要风险排查整治清单（漳平市）</w:t>
      </w:r>
    </w:p>
    <w:tbl>
      <w:tblPr>
        <w:tblW w:w="13482" w:type="dxa"/>
        <w:tblInd w:w="2" w:type="dxa"/>
        <w:tblLayout w:type="fixed"/>
        <w:tblCellMar>
          <w:left w:w="0" w:type="dxa"/>
          <w:right w:w="0" w:type="dxa"/>
        </w:tblCellMar>
        <w:tblLook w:val="00A0"/>
      </w:tblPr>
      <w:tblGrid>
        <w:gridCol w:w="705"/>
        <w:gridCol w:w="1318"/>
        <w:gridCol w:w="1328"/>
        <w:gridCol w:w="2915"/>
        <w:gridCol w:w="5914"/>
        <w:gridCol w:w="1302"/>
      </w:tblGrid>
      <w:tr w:rsidR="00481D09">
        <w:trPr>
          <w:trHeight w:val="300"/>
        </w:trPr>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序号</w:t>
            </w:r>
          </w:p>
        </w:tc>
        <w:tc>
          <w:tcPr>
            <w:tcW w:w="1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常见风险</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重点产品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重点问题</w:t>
            </w:r>
          </w:p>
        </w:tc>
        <w:tc>
          <w:tcPr>
            <w:tcW w:w="5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整治措施</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b/>
                <w:bCs/>
                <w:color w:val="000000"/>
                <w:sz w:val="28"/>
                <w:szCs w:val="28"/>
              </w:rPr>
            </w:pPr>
            <w:r>
              <w:rPr>
                <w:rFonts w:ascii="仿宋" w:eastAsia="仿宋" w:hAnsi="仿宋" w:cs="仿宋" w:hint="eastAsia"/>
                <w:b/>
                <w:bCs/>
                <w:color w:val="000000"/>
                <w:kern w:val="0"/>
                <w:sz w:val="28"/>
                <w:szCs w:val="28"/>
              </w:rPr>
              <w:t>主要区域</w:t>
            </w:r>
          </w:p>
        </w:tc>
      </w:tr>
      <w:tr w:rsidR="00481D09">
        <w:trPr>
          <w:trHeight w:val="66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1</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食品中非法添加药品、未经安全性评估的食品原料、中草药等非食用物质</w:t>
            </w:r>
          </w:p>
        </w:tc>
        <w:tc>
          <w:tcPr>
            <w:tcW w:w="1328"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固体饮料</w:t>
            </w:r>
          </w:p>
        </w:tc>
        <w:tc>
          <w:tcPr>
            <w:tcW w:w="2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非法添加咖啡因、双醋酚丁、匹克硫酸钠、麻黄碱、伪麻黄碱、酚酞、西地那非、育亨宾、布洛芬、盐酸二甲双胍、γ</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羟基丁酸等药品、非食用物质以及其他可能危害人体健康的物质</w:t>
            </w:r>
          </w:p>
        </w:tc>
        <w:tc>
          <w:tcPr>
            <w:tcW w:w="5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严格进货查验制度落实，重点检查企业原辅料仓库、生产车间、配料室及其他存放原辅料的区域是否存在购进非食品原料、食品添加剂以外的化学物质、其他可能危害人体健康的物质和药品等行为。并结合卫生行政部门发布的药食同源目录、新食品原料目录、新食品原料终止审查目录及其他相关法律法规，检查企业进货查验制度落实情况。</w:t>
            </w:r>
            <w:r>
              <w:rPr>
                <w:rFonts w:ascii="仿宋" w:eastAsia="仿宋" w:hAnsi="仿宋"/>
                <w:color w:val="000000"/>
                <w:kern w:val="0"/>
                <w:sz w:val="24"/>
                <w:szCs w:val="24"/>
              </w:rPr>
              <w:br/>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、对非法添加药品的违法违规行为，存在主观故意的，严格按照《食品安全法》第</w:t>
            </w:r>
            <w:r>
              <w:rPr>
                <w:rFonts w:ascii="仿宋" w:eastAsia="仿宋" w:hAnsi="仿宋" w:cs="仿宋"/>
                <w:color w:val="000000"/>
                <w:kern w:val="0"/>
                <w:sz w:val="24"/>
                <w:szCs w:val="24"/>
              </w:rPr>
              <w:t>123</w:t>
            </w:r>
            <w:r>
              <w:rPr>
                <w:rFonts w:ascii="仿宋" w:eastAsia="仿宋" w:hAnsi="仿宋" w:cs="仿宋" w:hint="eastAsia"/>
                <w:color w:val="000000"/>
                <w:kern w:val="0"/>
                <w:sz w:val="24"/>
                <w:szCs w:val="24"/>
              </w:rPr>
              <w:t>条的要求，吊销许可证。</w:t>
            </w:r>
            <w:r>
              <w:rPr>
                <w:rFonts w:ascii="仿宋" w:eastAsia="仿宋" w:hAnsi="仿宋"/>
                <w:color w:val="000000"/>
                <w:kern w:val="0"/>
                <w:sz w:val="24"/>
                <w:szCs w:val="24"/>
              </w:rPr>
              <w:br/>
            </w: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、未按规定建立并遵守进货查验记录、出厂检验记录和销售记录制度的行为，严格按照《食品安全法》第</w:t>
            </w:r>
            <w:r>
              <w:rPr>
                <w:rFonts w:ascii="仿宋" w:eastAsia="仿宋" w:hAnsi="仿宋" w:cs="仿宋"/>
                <w:color w:val="000000"/>
                <w:kern w:val="0"/>
                <w:sz w:val="24"/>
                <w:szCs w:val="24"/>
              </w:rPr>
              <w:t>126</w:t>
            </w:r>
            <w:r>
              <w:rPr>
                <w:rFonts w:ascii="仿宋" w:eastAsia="仿宋" w:hAnsi="仿宋" w:cs="仿宋" w:hint="eastAsia"/>
                <w:color w:val="000000"/>
                <w:kern w:val="0"/>
                <w:sz w:val="24"/>
                <w:szCs w:val="24"/>
              </w:rPr>
              <w:t>条从严处理。</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蜜饯</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白酒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使用非食用酒精</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全市</w:t>
            </w:r>
          </w:p>
        </w:tc>
      </w:tr>
      <w:tr w:rsidR="00481D09">
        <w:trPr>
          <w:trHeight w:val="8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配制酒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添加西地那非、他达拉非等化学药品、中药材、未经批准的新食品原料以及其他可能危害人体健康的物质</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11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食用动物油脂</w:t>
            </w:r>
          </w:p>
        </w:tc>
        <w:tc>
          <w:tcPr>
            <w:tcW w:w="2915"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生产使用“地沟油”，违法使用不合格肉类原料</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66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豆制品</w:t>
            </w:r>
          </w:p>
        </w:tc>
        <w:tc>
          <w:tcPr>
            <w:tcW w:w="2915"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使用吊白块、硼砂等非食用物质</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生湿面制品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非法添加硼砂</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142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2</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掺假掺杂行为</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肉制品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使用病死、毒死或者死因不明的原料肉或未按规定进行检疫或者检疫不合格的肉类；使用价低的鸡鸭等禽肉冒充价高的猪牛等畜肉</w:t>
            </w:r>
          </w:p>
        </w:tc>
        <w:tc>
          <w:tcPr>
            <w:tcW w:w="5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严格食品安全追溯制度落实，结合产品配料标识，关注原料价格情况，重点检查企业食品安全追溯体系建设，根据《龙岩市食品安全信息追溯管理办法》规定，参照原食品药品监管总局《关于食用植物油生产企业食品安全追溯体系的指导意见》</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食药监食监一〔</w:t>
            </w:r>
            <w:r>
              <w:rPr>
                <w:rFonts w:ascii="仿宋" w:eastAsia="仿宋" w:hAnsi="仿宋" w:cs="仿宋"/>
                <w:color w:val="000000"/>
                <w:kern w:val="0"/>
                <w:sz w:val="24"/>
                <w:szCs w:val="24"/>
              </w:rPr>
              <w:t>2015</w:t>
            </w: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280</w:t>
            </w:r>
            <w:r>
              <w:rPr>
                <w:rFonts w:ascii="仿宋" w:eastAsia="仿宋" w:hAnsi="仿宋" w:cs="仿宋" w:hint="eastAsia"/>
                <w:color w:val="000000"/>
                <w:kern w:val="0"/>
                <w:sz w:val="24"/>
                <w:szCs w:val="24"/>
              </w:rPr>
              <w:t>号</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、《关于白酒生产企业建立质量安全追溯体系的指导意见》</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食药监食监一〔</w:t>
            </w:r>
            <w:r>
              <w:rPr>
                <w:rFonts w:ascii="仿宋" w:eastAsia="仿宋" w:hAnsi="仿宋" w:cs="仿宋"/>
                <w:color w:val="000000"/>
                <w:kern w:val="0"/>
                <w:sz w:val="24"/>
                <w:szCs w:val="24"/>
              </w:rPr>
              <w:t>2015</w:t>
            </w: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194</w:t>
            </w:r>
            <w:r>
              <w:rPr>
                <w:rFonts w:ascii="仿宋" w:eastAsia="仿宋" w:hAnsi="仿宋" w:cs="仿宋" w:hint="eastAsia"/>
                <w:color w:val="000000"/>
                <w:kern w:val="0"/>
                <w:sz w:val="24"/>
                <w:szCs w:val="24"/>
              </w:rPr>
              <w:t>号</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、原龙岩市食品药品监督管理局《关于推进重点食品生产企业追溯体系建设试点工作的通知》（闽食药监食生函〔</w:t>
            </w:r>
            <w:r>
              <w:rPr>
                <w:rFonts w:ascii="仿宋" w:eastAsia="仿宋" w:hAnsi="仿宋" w:cs="仿宋"/>
                <w:color w:val="000000"/>
                <w:kern w:val="0"/>
                <w:sz w:val="24"/>
                <w:szCs w:val="24"/>
              </w:rPr>
              <w:t>2016</w:t>
            </w: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165</w:t>
            </w:r>
            <w:r>
              <w:rPr>
                <w:rFonts w:ascii="仿宋" w:eastAsia="仿宋" w:hAnsi="仿宋" w:cs="仿宋" w:hint="eastAsia"/>
                <w:color w:val="000000"/>
                <w:kern w:val="0"/>
                <w:sz w:val="24"/>
                <w:szCs w:val="24"/>
              </w:rPr>
              <w:t>号）等要求，严查掺假掺杂行为。</w:t>
            </w:r>
            <w:r>
              <w:rPr>
                <w:rFonts w:ascii="仿宋" w:eastAsia="仿宋" w:hAnsi="仿宋"/>
                <w:color w:val="000000"/>
                <w:kern w:val="0"/>
                <w:sz w:val="24"/>
                <w:szCs w:val="24"/>
              </w:rPr>
              <w:br/>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、对掺假掺杂行为的违法违规行为，严格按照相关法律法规要求从严处罚。</w:t>
            </w:r>
            <w:r>
              <w:rPr>
                <w:rFonts w:ascii="仿宋" w:eastAsia="仿宋" w:hAnsi="仿宋"/>
                <w:color w:val="000000"/>
                <w:kern w:val="0"/>
                <w:sz w:val="24"/>
                <w:szCs w:val="24"/>
              </w:rPr>
              <w:br/>
            </w: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、对产品无法溯源、投配料记录不真实等行为，严格按照《龙岩市食品安全信息追溯管理办法》第</w:t>
            </w:r>
            <w:r>
              <w:rPr>
                <w:rFonts w:ascii="仿宋" w:eastAsia="仿宋" w:hAnsi="仿宋" w:cs="仿宋"/>
                <w:color w:val="000000"/>
                <w:kern w:val="0"/>
                <w:sz w:val="24"/>
                <w:szCs w:val="24"/>
              </w:rPr>
              <w:t>32</w:t>
            </w:r>
            <w:r>
              <w:rPr>
                <w:rFonts w:ascii="仿宋" w:eastAsia="仿宋" w:hAnsi="仿宋" w:cs="仿宋" w:hint="eastAsia"/>
                <w:color w:val="000000"/>
                <w:kern w:val="0"/>
                <w:sz w:val="24"/>
                <w:szCs w:val="24"/>
              </w:rPr>
              <w:t>条要求，从严处罚。</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食用植物油</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生产使用“地沟油”；使用价低的油料冒充价格的油料</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白酒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使用液态法白酒冒充固态法白酒</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蜂蜜</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蜂蜜中添加高果糖浆、甜菜糖浆、大米糖浆、玉米糖浆等甜味物质</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39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3</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超范围超限量使用食品添加剂</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sz w:val="24"/>
                <w:szCs w:val="24"/>
              </w:rPr>
              <w:t>肉制品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strike/>
                <w:color w:val="000000"/>
                <w:sz w:val="24"/>
                <w:szCs w:val="24"/>
              </w:rPr>
            </w:pPr>
            <w:r>
              <w:rPr>
                <w:rFonts w:ascii="仿宋" w:eastAsia="仿宋" w:hAnsi="仿宋" w:cs="仿宋" w:hint="eastAsia"/>
                <w:color w:val="000000"/>
                <w:kern w:val="0"/>
                <w:sz w:val="24"/>
                <w:szCs w:val="24"/>
              </w:rPr>
              <w:t>滥用防腐剂等</w:t>
            </w:r>
          </w:p>
        </w:tc>
        <w:tc>
          <w:tcPr>
            <w:tcW w:w="5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、抽查企业食品添加剂领用记录、投料记录，对照</w:t>
            </w:r>
            <w:r>
              <w:rPr>
                <w:rFonts w:ascii="仿宋" w:eastAsia="仿宋" w:hAnsi="仿宋" w:cs="仿宋"/>
                <w:color w:val="000000"/>
                <w:kern w:val="0"/>
                <w:sz w:val="24"/>
                <w:szCs w:val="24"/>
              </w:rPr>
              <w:t xml:space="preserve">GB 2760 </w:t>
            </w:r>
            <w:r>
              <w:rPr>
                <w:rFonts w:ascii="仿宋" w:eastAsia="仿宋" w:hAnsi="仿宋" w:cs="仿宋" w:hint="eastAsia"/>
                <w:color w:val="000000"/>
                <w:kern w:val="0"/>
                <w:sz w:val="24"/>
                <w:szCs w:val="24"/>
              </w:rPr>
              <w:t>《食品添加剂使用标准》，不得超范围、超限量使用食品添加剂。可进行物料平衡核算是否超限量使用食品添加剂。</w:t>
            </w:r>
            <w:r>
              <w:rPr>
                <w:rFonts w:ascii="仿宋" w:eastAsia="仿宋" w:hAnsi="仿宋"/>
                <w:color w:val="000000"/>
                <w:kern w:val="0"/>
                <w:sz w:val="24"/>
                <w:szCs w:val="24"/>
              </w:rPr>
              <w:br/>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、重点整治超限量使用防腐剂的行为，发现此类行为，应要求企业自行停产整顿，并严格按照《食品安全法》第</w:t>
            </w:r>
            <w:r>
              <w:rPr>
                <w:rFonts w:ascii="仿宋" w:eastAsia="仿宋" w:hAnsi="仿宋" w:cs="仿宋"/>
                <w:color w:val="000000"/>
                <w:kern w:val="0"/>
                <w:sz w:val="24"/>
                <w:szCs w:val="24"/>
              </w:rPr>
              <w:t>124</w:t>
            </w:r>
            <w:r>
              <w:rPr>
                <w:rFonts w:ascii="仿宋" w:eastAsia="仿宋" w:hAnsi="仿宋" w:cs="仿宋" w:hint="eastAsia"/>
                <w:color w:val="000000"/>
                <w:kern w:val="0"/>
                <w:sz w:val="24"/>
                <w:szCs w:val="24"/>
              </w:rPr>
              <w:t>条的规定严肃处理，情节严重的，吊销许可证。</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sz w:val="24"/>
                <w:szCs w:val="24"/>
              </w:rPr>
              <w:t>黄酒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违规使用甜味剂</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白酒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滥用甜味剂（甜蜜素、糖精钠）</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食用植物油</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超范围添加乙基麦芽酚</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糕点</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违规使用食品添加剂（防腐剂、甜味剂、着色剂）</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strike/>
                <w:color w:val="000000"/>
                <w:sz w:val="24"/>
                <w:szCs w:val="24"/>
              </w:rPr>
            </w:pPr>
            <w:r>
              <w:rPr>
                <w:rFonts w:ascii="仿宋" w:eastAsia="仿宋" w:hAnsi="仿宋" w:cs="仿宋" w:hint="eastAsia"/>
                <w:color w:val="000000"/>
                <w:kern w:val="0"/>
                <w:sz w:val="24"/>
                <w:szCs w:val="24"/>
              </w:rPr>
              <w:t>全市</w:t>
            </w:r>
          </w:p>
        </w:tc>
      </w:tr>
      <w:tr w:rsidR="00481D09">
        <w:trPr>
          <w:trHeight w:val="8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蜜饯</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滥用“日落黄”、“苋菜红”、“胭脂红”、诱惑红等着色剂，滥用防腐剂、甜味剂等食品添加剂</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豆制品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超范围使用食品添加剂</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96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4</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化学性污染风险</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食用植物油</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240" w:lineRule="exact"/>
              <w:textAlignment w:val="center"/>
              <w:rPr>
                <w:rFonts w:ascii="仿宋" w:eastAsia="仿宋" w:hAnsi="仿宋"/>
                <w:color w:val="000000"/>
                <w:sz w:val="24"/>
                <w:szCs w:val="24"/>
              </w:rPr>
            </w:pPr>
            <w:r>
              <w:rPr>
                <w:rFonts w:ascii="仿宋" w:eastAsia="仿宋" w:hAnsi="仿宋" w:cs="仿宋" w:hint="eastAsia"/>
                <w:color w:val="000000"/>
                <w:kern w:val="0"/>
                <w:sz w:val="24"/>
                <w:szCs w:val="24"/>
              </w:rPr>
              <w:t>黄曲霉毒素</w:t>
            </w:r>
            <w:r>
              <w:rPr>
                <w:rFonts w:ascii="仿宋" w:eastAsia="仿宋" w:hAnsi="仿宋" w:cs="仿宋"/>
                <w:color w:val="000000"/>
                <w:kern w:val="0"/>
                <w:sz w:val="24"/>
                <w:szCs w:val="24"/>
              </w:rPr>
              <w:t>B1</w:t>
            </w:r>
            <w:r>
              <w:rPr>
                <w:rFonts w:ascii="仿宋" w:eastAsia="仿宋" w:hAnsi="仿宋" w:cs="仿宋" w:hint="eastAsia"/>
                <w:color w:val="000000"/>
                <w:kern w:val="0"/>
                <w:sz w:val="24"/>
                <w:szCs w:val="24"/>
              </w:rPr>
              <w:t>超标，塑化剂、苯并芘等污染物超标</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酸价、过氧化值等质量指标不合格，溶剂残留超标</w:t>
            </w:r>
          </w:p>
        </w:tc>
        <w:tc>
          <w:tcPr>
            <w:tcW w:w="5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关注原料进货查验是否落实，尤其是油料原料是否发霉；关注生产工艺参数是否与申请生产时的工艺参数一致；关注产品贮存防护措施是否合理；必要时可开展抽样检验。</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白酒</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塑化剂污染</w:t>
            </w:r>
          </w:p>
        </w:tc>
        <w:tc>
          <w:tcPr>
            <w:tcW w:w="5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关注生产设备和包装容器中是否存在塑料制品，是否按照要求对食品相关产品查验产品合格证明材料。</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包装饮用水</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“溴酸盐</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浑浊度”超标</w:t>
            </w:r>
          </w:p>
        </w:tc>
        <w:tc>
          <w:tcPr>
            <w:tcW w:w="5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关注包装饮用水臭氧和消毒剂使用是否合理。</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1857"/>
        </w:trPr>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5</w:t>
            </w:r>
          </w:p>
        </w:tc>
        <w:tc>
          <w:tcPr>
            <w:tcW w:w="1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兽药残留问题</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肉制品</w:t>
            </w:r>
          </w:p>
        </w:tc>
        <w:tc>
          <w:tcPr>
            <w:tcW w:w="2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使用不合格的肉类原料，检出“瘦肉精”等禁用兽药，磺胺类、沙拉杀星等兽药超标</w:t>
            </w:r>
          </w:p>
        </w:tc>
        <w:tc>
          <w:tcPr>
            <w:tcW w:w="5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240" w:lineRule="exact"/>
              <w:textAlignment w:val="center"/>
              <w:rPr>
                <w:rFonts w:ascii="仿宋" w:eastAsia="仿宋" w:hAnsi="仿宋"/>
                <w:color w:val="000000"/>
                <w:sz w:val="24"/>
                <w:szCs w:val="24"/>
              </w:rPr>
            </w:pPr>
            <w:r>
              <w:rPr>
                <w:rFonts w:ascii="仿宋" w:eastAsia="仿宋" w:hAnsi="仿宋" w:cs="仿宋" w:hint="eastAsia"/>
                <w:color w:val="000000"/>
                <w:kern w:val="0"/>
                <w:sz w:val="24"/>
                <w:szCs w:val="24"/>
              </w:rPr>
              <w:t>检查原料是否按照进货查验要求，原料肉应当符合《食品安全国家标准</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鲜（冻）畜、禽产品》（</w:t>
            </w:r>
            <w:r>
              <w:rPr>
                <w:rFonts w:ascii="仿宋" w:eastAsia="仿宋" w:hAnsi="仿宋" w:cs="仿宋"/>
                <w:color w:val="000000"/>
                <w:kern w:val="0"/>
                <w:sz w:val="24"/>
                <w:szCs w:val="24"/>
              </w:rPr>
              <w:t>GB2707</w:t>
            </w:r>
            <w:r>
              <w:rPr>
                <w:rFonts w:ascii="仿宋" w:eastAsia="仿宋" w:hAnsi="仿宋" w:cs="仿宋" w:hint="eastAsia"/>
                <w:color w:val="000000"/>
                <w:kern w:val="0"/>
                <w:sz w:val="24"/>
                <w:szCs w:val="24"/>
              </w:rPr>
              <w:t>）以及《鲜、冻禽产品》（</w:t>
            </w:r>
            <w:r>
              <w:rPr>
                <w:rFonts w:ascii="仿宋" w:eastAsia="仿宋" w:hAnsi="仿宋" w:cs="仿宋"/>
                <w:color w:val="000000"/>
                <w:kern w:val="0"/>
                <w:sz w:val="24"/>
                <w:szCs w:val="24"/>
              </w:rPr>
              <w:t>GB16869</w:t>
            </w:r>
            <w:r>
              <w:rPr>
                <w:rFonts w:ascii="仿宋" w:eastAsia="仿宋" w:hAnsi="仿宋" w:cs="仿宋" w:hint="eastAsia"/>
                <w:color w:val="000000"/>
                <w:kern w:val="0"/>
                <w:sz w:val="24"/>
                <w:szCs w:val="24"/>
              </w:rPr>
              <w:t>），具有规定的动物检疫合格证明、肉品品质检验合格证明；生猪产品还应当具有非洲猪瘟检测证明</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报告。进口肉类产品应当有入境货物检验检疫合格证明，并符合国务院应对新型冠状病毒感染肺炎疫情联防联控机制有关要求。</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91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r>
              <w:rPr>
                <w:rFonts w:ascii="仿宋" w:eastAsia="仿宋" w:hAnsi="仿宋" w:cs="仿宋" w:hint="eastAsia"/>
                <w:color w:val="000000"/>
                <w:kern w:val="0"/>
                <w:sz w:val="24"/>
                <w:szCs w:val="24"/>
              </w:rPr>
              <w:t>虚假标签标识的风险</w:t>
            </w:r>
          </w:p>
        </w:tc>
        <w:tc>
          <w:tcPr>
            <w:tcW w:w="1328" w:type="dxa"/>
            <w:tcBorders>
              <w:top w:val="single" w:sz="4" w:space="0" w:color="000000"/>
              <w:left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固体饮料</w:t>
            </w:r>
          </w:p>
        </w:tc>
        <w:tc>
          <w:tcPr>
            <w:tcW w:w="2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非法声称有“通便、减肥、纤体”等预防、治疗或辅助功能</w:t>
            </w:r>
          </w:p>
        </w:tc>
        <w:tc>
          <w:tcPr>
            <w:tcW w:w="5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r>
              <w:rPr>
                <w:rFonts w:ascii="仿宋" w:eastAsia="仿宋" w:hAnsi="仿宋" w:cs="仿宋" w:hint="eastAsia"/>
                <w:color w:val="000000"/>
                <w:kern w:val="0"/>
                <w:sz w:val="24"/>
                <w:szCs w:val="24"/>
              </w:rPr>
              <w:t>结合《食品标识管理规定》、《预包装食品标签通则》（</w:t>
            </w:r>
            <w:r>
              <w:rPr>
                <w:rFonts w:ascii="仿宋" w:eastAsia="仿宋" w:hAnsi="仿宋" w:cs="仿宋"/>
                <w:color w:val="000000"/>
                <w:kern w:val="0"/>
                <w:sz w:val="24"/>
                <w:szCs w:val="24"/>
              </w:rPr>
              <w:t xml:space="preserve">GB 7718-2011 </w:t>
            </w:r>
            <w:r>
              <w:rPr>
                <w:rFonts w:ascii="仿宋" w:eastAsia="仿宋" w:hAnsi="仿宋" w:cs="仿宋" w:hint="eastAsia"/>
                <w:color w:val="000000"/>
                <w:kern w:val="0"/>
                <w:sz w:val="24"/>
                <w:szCs w:val="24"/>
              </w:rPr>
              <w:t>）等法律法规和食品安全标准规定，对虚假标注生产日期的行为按照《食品安全法》第</w:t>
            </w:r>
            <w:r>
              <w:rPr>
                <w:rFonts w:ascii="仿宋" w:eastAsia="仿宋" w:hAnsi="仿宋" w:cs="仿宋"/>
                <w:color w:val="000000"/>
                <w:kern w:val="0"/>
                <w:sz w:val="24"/>
                <w:szCs w:val="24"/>
              </w:rPr>
              <w:t>123</w:t>
            </w:r>
            <w:r>
              <w:rPr>
                <w:rFonts w:ascii="仿宋" w:eastAsia="仿宋" w:hAnsi="仿宋" w:cs="仿宋" w:hint="eastAsia"/>
                <w:color w:val="000000"/>
                <w:kern w:val="0"/>
                <w:sz w:val="24"/>
                <w:szCs w:val="24"/>
              </w:rPr>
              <w:t>条规定严肃处理，情节严重的吊销许可证；对虚假宣传行为按照《食品安全法》第</w:t>
            </w:r>
            <w:r>
              <w:rPr>
                <w:rFonts w:ascii="仿宋" w:eastAsia="仿宋" w:hAnsi="仿宋" w:cs="仿宋"/>
                <w:color w:val="000000"/>
                <w:kern w:val="0"/>
                <w:sz w:val="24"/>
                <w:szCs w:val="24"/>
              </w:rPr>
              <w:t>125</w:t>
            </w:r>
            <w:r>
              <w:rPr>
                <w:rFonts w:ascii="仿宋" w:eastAsia="仿宋" w:hAnsi="仿宋" w:cs="仿宋" w:hint="eastAsia"/>
                <w:color w:val="000000"/>
                <w:kern w:val="0"/>
                <w:sz w:val="24"/>
                <w:szCs w:val="24"/>
              </w:rPr>
              <w:t>条规定严肃处理。</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300" w:lineRule="exact"/>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蜜饯</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12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240" w:lineRule="exact"/>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糕点、饼干、薯类及膨化食品等休闲类短保质期食品</w:t>
            </w:r>
          </w:p>
        </w:tc>
        <w:tc>
          <w:tcPr>
            <w:tcW w:w="2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虚假标注生产日期</w:t>
            </w: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17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240" w:lineRule="exact"/>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月饼、粽子等节令性食品以及岁末年初、节假日高峰期食品</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66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color w:val="000000"/>
                <w:kern w:val="0"/>
                <w:sz w:val="24"/>
                <w:szCs w:val="24"/>
              </w:rPr>
              <w:t>7</w:t>
            </w:r>
          </w:p>
        </w:tc>
        <w:tc>
          <w:tcPr>
            <w:tcW w:w="1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微生物超标问题</w:t>
            </w:r>
          </w:p>
        </w:tc>
        <w:tc>
          <w:tcPr>
            <w:tcW w:w="13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left"/>
              <w:textAlignment w:val="center"/>
              <w:rPr>
                <w:rFonts w:ascii="仿宋" w:eastAsia="仿宋" w:hAnsi="仿宋"/>
                <w:strike/>
                <w:color w:val="000000"/>
                <w:sz w:val="24"/>
                <w:szCs w:val="24"/>
              </w:rPr>
            </w:pPr>
            <w:r>
              <w:rPr>
                <w:rFonts w:ascii="仿宋" w:eastAsia="仿宋" w:hAnsi="仿宋" w:cs="仿宋" w:hint="eastAsia"/>
                <w:color w:val="000000"/>
                <w:kern w:val="0"/>
                <w:sz w:val="24"/>
                <w:szCs w:val="24"/>
              </w:rPr>
              <w:t>肉制品</w:t>
            </w:r>
          </w:p>
        </w:tc>
        <w:tc>
          <w:tcPr>
            <w:tcW w:w="2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300" w:lineRule="exact"/>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微生物检验不合格的主要原因是未持续保持生产许可条件：</w:t>
            </w:r>
            <w:r>
              <w:rPr>
                <w:rFonts w:ascii="仿宋" w:eastAsia="仿宋" w:hAnsi="仿宋"/>
                <w:color w:val="000000"/>
                <w:kern w:val="0"/>
                <w:sz w:val="24"/>
                <w:szCs w:val="24"/>
              </w:rPr>
              <w:br/>
            </w: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、功能区间划分不合理，一般作业区、准清洁作业区和清洁作业区未有效分离或分隔导致交叉污染；</w:t>
            </w:r>
            <w:r>
              <w:rPr>
                <w:rFonts w:ascii="仿宋" w:eastAsia="仿宋" w:hAnsi="仿宋"/>
                <w:color w:val="000000"/>
                <w:kern w:val="0"/>
                <w:sz w:val="24"/>
                <w:szCs w:val="24"/>
              </w:rPr>
              <w:br/>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、建筑内部结构与材料、供排水设施、清洁消毒设施、废弃物存放设施、个人卫生设施、通风设施、照明设施、仓储设施、温控设施等未及时防护或不能满足实际生产需要；</w:t>
            </w:r>
            <w:r>
              <w:rPr>
                <w:rFonts w:ascii="仿宋" w:eastAsia="仿宋" w:hAnsi="仿宋"/>
                <w:color w:val="000000"/>
                <w:kern w:val="0"/>
                <w:sz w:val="24"/>
                <w:szCs w:val="24"/>
              </w:rPr>
              <w:br/>
            </w: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、生产设备与实际生产能力不适应，无序排列，未及时清洁保养；</w:t>
            </w:r>
            <w:r>
              <w:rPr>
                <w:rFonts w:ascii="仿宋" w:eastAsia="仿宋" w:hAnsi="仿宋"/>
                <w:color w:val="000000"/>
                <w:kern w:val="0"/>
                <w:sz w:val="24"/>
                <w:szCs w:val="24"/>
              </w:rPr>
              <w:br/>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、未严格落实食品安全管理制度，尤其是关键控制环节监控制度、生产环境、设备设施的卫生监控和清洁消毒制度未严格落实；</w:t>
            </w:r>
            <w:r>
              <w:rPr>
                <w:rFonts w:ascii="仿宋" w:eastAsia="仿宋" w:hAnsi="仿宋"/>
                <w:color w:val="000000"/>
                <w:kern w:val="0"/>
                <w:sz w:val="24"/>
                <w:szCs w:val="24"/>
              </w:rPr>
              <w:br/>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、工作服管理措施不到位，工作服未及时清洗，不同洁净区间的工作服混放，未统一管理和清洗消毒。</w:t>
            </w:r>
            <w:r>
              <w:rPr>
                <w:rFonts w:ascii="仿宋" w:eastAsia="仿宋" w:hAnsi="仿宋"/>
                <w:color w:val="000000"/>
                <w:kern w:val="0"/>
                <w:sz w:val="24"/>
                <w:szCs w:val="24"/>
              </w:rPr>
              <w:br/>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、产品检验能力不足，检验人员能力不足，存在错检、漏检甚至未检验等现象。</w:t>
            </w:r>
          </w:p>
        </w:tc>
        <w:tc>
          <w:tcPr>
            <w:tcW w:w="5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spacing w:line="300" w:lineRule="exact"/>
              <w:jc w:val="left"/>
              <w:textAlignment w:val="center"/>
              <w:rPr>
                <w:rFonts w:ascii="仿宋" w:eastAsia="仿宋" w:hAnsi="仿宋"/>
                <w:color w:val="00000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对照食品生产许可档案，查看生产工艺和参数是否与申请许可时提交的工艺流程一致；对生产许可条件、生产工艺流程发生变化的，导致风险隐患的，应要求企业自行停产整顿，并按照《食品生产许可管理办法》第</w:t>
            </w:r>
            <w:r>
              <w:rPr>
                <w:rFonts w:ascii="仿宋" w:eastAsia="仿宋" w:hAnsi="仿宋" w:cs="仿宋"/>
                <w:color w:val="000000"/>
                <w:kern w:val="0"/>
                <w:sz w:val="24"/>
                <w:szCs w:val="24"/>
              </w:rPr>
              <w:t>32</w:t>
            </w:r>
            <w:r>
              <w:rPr>
                <w:rFonts w:ascii="仿宋" w:eastAsia="仿宋" w:hAnsi="仿宋" w:cs="仿宋" w:hint="eastAsia"/>
                <w:color w:val="000000"/>
                <w:kern w:val="0"/>
                <w:sz w:val="24"/>
                <w:szCs w:val="24"/>
              </w:rPr>
              <w:t>条的要求，及时提出生产许可变更申请。</w:t>
            </w:r>
            <w:r>
              <w:rPr>
                <w:rFonts w:ascii="仿宋" w:eastAsia="仿宋" w:hAnsi="仿宋"/>
                <w:color w:val="000000"/>
                <w:kern w:val="0"/>
                <w:sz w:val="24"/>
                <w:szCs w:val="24"/>
              </w:rPr>
              <w:br/>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重点查看企业生产环境给食品生产带来的潜在污染风险，生产现场是否存在人流、物流交叉污染情况，督促企业采取适当的措施将其降至最低水平；查看关键控制环节的工艺参数是否合理，清洁消毒是否符合制度要求，是否按照要求对清洁消毒效果进行验证。对监督检查中发现存在严重交叉污染问题的企业，应要求企业自行停产整顿。</w:t>
            </w:r>
            <w:r>
              <w:rPr>
                <w:rFonts w:ascii="仿宋" w:eastAsia="仿宋" w:hAnsi="仿宋"/>
                <w:color w:val="000000"/>
                <w:kern w:val="0"/>
                <w:sz w:val="24"/>
                <w:szCs w:val="24"/>
              </w:rPr>
              <w:br/>
            </w: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、抽查</w:t>
            </w: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批次以上成品检查（对自检的企业适用）：①出厂检验报告应与生产记录、产品入库记录的批次相一致</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②出厂检验报告中的检验结果（如净含量、水分、菌落总数、大肠菌群等）应有相对应的原始检验记录；③企业出厂检验报告及原始记录应真实、完整、清晰。对检验记录不真实、完整的，应要求企业自行停产整顿。对未按照食品安全标准对所生产的食品进行逐批检验或全项目检验，以及伪造检验报告书和检验记录等情节严重的行为，应按照《食品安全法》第</w:t>
            </w:r>
            <w:r>
              <w:rPr>
                <w:rFonts w:ascii="仿宋" w:eastAsia="仿宋" w:hAnsi="仿宋" w:cs="仿宋"/>
                <w:color w:val="000000"/>
                <w:kern w:val="0"/>
                <w:sz w:val="24"/>
                <w:szCs w:val="24"/>
              </w:rPr>
              <w:t>126</w:t>
            </w:r>
            <w:r>
              <w:rPr>
                <w:rFonts w:ascii="仿宋" w:eastAsia="仿宋" w:hAnsi="仿宋" w:cs="仿宋" w:hint="eastAsia"/>
                <w:color w:val="000000"/>
                <w:kern w:val="0"/>
                <w:sz w:val="24"/>
                <w:szCs w:val="24"/>
              </w:rPr>
              <w:t>条的规定，责令停产停业，直至吊销许可证。</w:t>
            </w:r>
            <w:r>
              <w:rPr>
                <w:rFonts w:ascii="仿宋" w:eastAsia="仿宋" w:hAnsi="仿宋"/>
                <w:color w:val="000000"/>
                <w:kern w:val="0"/>
                <w:sz w:val="24"/>
                <w:szCs w:val="24"/>
              </w:rPr>
              <w:br/>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、企业出厂检验报告及原始记录应真实、完整、清晰。对检验记录不真实、不完整的，应要求企业停产整顿。</w:t>
            </w:r>
            <w:r>
              <w:rPr>
                <w:rFonts w:ascii="仿宋" w:eastAsia="仿宋" w:hAnsi="仿宋"/>
                <w:color w:val="000000"/>
                <w:kern w:val="0"/>
                <w:sz w:val="24"/>
                <w:szCs w:val="24"/>
              </w:rPr>
              <w:br/>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、对未按照食品安全标准对所生产的食品进行逐批检验或全项目检验，以及伪造检验报告书和检验记录等情节严重的行为，应按照《食品安全法》第</w:t>
            </w:r>
            <w:r>
              <w:rPr>
                <w:rFonts w:ascii="仿宋" w:eastAsia="仿宋" w:hAnsi="仿宋" w:cs="仿宋"/>
                <w:color w:val="000000"/>
                <w:kern w:val="0"/>
                <w:sz w:val="24"/>
                <w:szCs w:val="24"/>
              </w:rPr>
              <w:t>126</w:t>
            </w:r>
            <w:r>
              <w:rPr>
                <w:rFonts w:ascii="仿宋" w:eastAsia="仿宋" w:hAnsi="仿宋" w:cs="仿宋" w:hint="eastAsia"/>
                <w:color w:val="000000"/>
                <w:kern w:val="0"/>
                <w:sz w:val="24"/>
                <w:szCs w:val="24"/>
              </w:rPr>
              <w:t>条规定，责令停产停业，情节严重的吊销许可证。</w:t>
            </w:r>
            <w:r>
              <w:rPr>
                <w:rFonts w:ascii="仿宋" w:eastAsia="仿宋" w:hAnsi="仿宋"/>
                <w:color w:val="000000"/>
                <w:kern w:val="0"/>
                <w:sz w:val="24"/>
                <w:szCs w:val="24"/>
              </w:rPr>
              <w:br/>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、结合农村食品安全整治，重点对农村地区和城乡接合部的食品生产企业开展风险排查；结合供校食品安全治理，对供校食品生产企业开展风险排查。</w:t>
            </w:r>
          </w:p>
        </w:tc>
        <w:tc>
          <w:tcPr>
            <w:tcW w:w="1302"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widowControl/>
              <w:jc w:val="center"/>
              <w:textAlignment w:val="center"/>
              <w:rPr>
                <w:rFonts w:ascii="仿宋" w:eastAsia="仿宋" w:hAnsi="仿宋"/>
                <w:color w:val="000000"/>
                <w:kern w:val="0"/>
                <w:sz w:val="24"/>
                <w:szCs w:val="24"/>
              </w:rPr>
            </w:pPr>
          </w:p>
          <w:p w:rsidR="00481D09" w:rsidRDefault="00481D09" w:rsidP="002C40FA">
            <w:pPr>
              <w:widowControl/>
              <w:jc w:val="center"/>
              <w:textAlignment w:val="center"/>
              <w:rPr>
                <w:rFonts w:ascii="仿宋" w:eastAsia="仿宋" w:hAnsi="仿宋"/>
                <w:color w:val="000000"/>
                <w:kern w:val="0"/>
                <w:sz w:val="24"/>
                <w:szCs w:val="24"/>
              </w:rPr>
            </w:pPr>
          </w:p>
          <w:p w:rsidR="00481D09" w:rsidRDefault="00481D09" w:rsidP="002C40FA">
            <w:pPr>
              <w:widowControl/>
              <w:jc w:val="center"/>
              <w:textAlignment w:val="center"/>
              <w:rPr>
                <w:rFonts w:ascii="仿宋" w:eastAsia="仿宋" w:hAnsi="仿宋"/>
                <w:color w:val="000000"/>
                <w:kern w:val="0"/>
                <w:sz w:val="24"/>
                <w:szCs w:val="24"/>
              </w:rPr>
            </w:pPr>
          </w:p>
          <w:p w:rsidR="00481D09" w:rsidRDefault="00481D09" w:rsidP="002C40FA">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全市</w:t>
            </w: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蜜饯</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textAlignment w:val="center"/>
              <w:rPr>
                <w:rFonts w:ascii="仿宋" w:eastAsia="仿宋" w:hAnsi="仿宋"/>
                <w:color w:val="000000"/>
                <w:sz w:val="24"/>
                <w:szCs w:val="24"/>
              </w:rPr>
            </w:pPr>
            <w:r>
              <w:rPr>
                <w:rFonts w:ascii="仿宋" w:eastAsia="仿宋" w:hAnsi="仿宋" w:cs="仿宋" w:hint="eastAsia"/>
                <w:color w:val="000000"/>
                <w:kern w:val="0"/>
                <w:sz w:val="24"/>
                <w:szCs w:val="24"/>
              </w:rPr>
              <w:t>桶装饮用水</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糕点</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炒货食品及坚果制品</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2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速冻食品</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r>
      <w:tr w:rsidR="00481D09">
        <w:trPr>
          <w:trHeight w:val="4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饼干</w:t>
            </w:r>
          </w:p>
        </w:tc>
        <w:tc>
          <w:tcPr>
            <w:tcW w:w="2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5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rPr>
                <w:rFonts w:ascii="仿宋" w:eastAsia="仿宋" w:hAnsi="仿宋"/>
                <w:color w:val="000000"/>
                <w:sz w:val="24"/>
                <w:szCs w:val="24"/>
              </w:rPr>
            </w:pPr>
          </w:p>
        </w:tc>
        <w:tc>
          <w:tcPr>
            <w:tcW w:w="130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81D09" w:rsidRDefault="00481D09" w:rsidP="002C40FA">
            <w:pPr>
              <w:jc w:val="center"/>
              <w:rPr>
                <w:rFonts w:ascii="仿宋" w:eastAsia="仿宋" w:hAnsi="仿宋"/>
                <w:color w:val="000000"/>
                <w:sz w:val="24"/>
                <w:szCs w:val="24"/>
              </w:rPr>
            </w:pPr>
            <w:r>
              <w:rPr>
                <w:rFonts w:ascii="仿宋" w:eastAsia="仿宋" w:hAnsi="仿宋" w:cs="仿宋" w:hint="eastAsia"/>
                <w:color w:val="000000"/>
                <w:sz w:val="24"/>
                <w:szCs w:val="24"/>
              </w:rPr>
              <w:t>漳平全市</w:t>
            </w:r>
          </w:p>
        </w:tc>
      </w:tr>
    </w:tbl>
    <w:p w:rsidR="00481D09" w:rsidRDefault="00481D09" w:rsidP="009F47A5">
      <w:pPr>
        <w:pStyle w:val="a"/>
        <w:spacing w:line="600" w:lineRule="exact"/>
        <w:sectPr w:rsidR="00481D09">
          <w:footerReference w:type="default" r:id="rId6"/>
          <w:pgSz w:w="16838" w:h="11906" w:orient="landscape"/>
          <w:pgMar w:top="1418" w:right="1701" w:bottom="1418" w:left="1701" w:header="851" w:footer="992" w:gutter="0"/>
          <w:pgNumType w:fmt="numberInDash"/>
          <w:cols w:space="720"/>
          <w:docGrid w:type="linesAndChars" w:linePitch="319"/>
        </w:sectPr>
      </w:pPr>
    </w:p>
    <w:p w:rsidR="00481D09" w:rsidRDefault="00481D09"/>
    <w:sectPr w:rsidR="00481D09" w:rsidSect="009F47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09" w:rsidRDefault="00481D09" w:rsidP="009F47A5">
      <w:r>
        <w:separator/>
      </w:r>
    </w:p>
  </w:endnote>
  <w:endnote w:type="continuationSeparator" w:id="0">
    <w:p w:rsidR="00481D09" w:rsidRDefault="00481D09" w:rsidP="009F4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9" w:rsidRDefault="00481D09" w:rsidP="00146261">
    <w:pPr>
      <w:pStyle w:val="Footer"/>
      <w:framePr w:wrap="auto" w:vAnchor="text" w:hAnchor="margin" w:xAlign="outside" w:y="1"/>
      <w:ind w:leftChars="100" w:left="31680" w:rightChars="100" w:right="31680"/>
      <w:rPr>
        <w:rStyle w:val="PageNumber"/>
        <w:rFonts w:ascii="宋体" w:cs="Times New Roman"/>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- 1 -</w:t>
    </w:r>
    <w:r>
      <w:rPr>
        <w:rStyle w:val="PageNumber"/>
        <w:rFonts w:ascii="宋体" w:hAnsi="宋体" w:cs="宋体"/>
        <w:sz w:val="28"/>
        <w:szCs w:val="28"/>
      </w:rPr>
      <w:fldChar w:fldCharType="end"/>
    </w:r>
  </w:p>
  <w:p w:rsidR="00481D09" w:rsidRDefault="00481D0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09" w:rsidRDefault="00481D09" w:rsidP="009F47A5">
      <w:r>
        <w:separator/>
      </w:r>
    </w:p>
  </w:footnote>
  <w:footnote w:type="continuationSeparator" w:id="0">
    <w:p w:rsidR="00481D09" w:rsidRDefault="00481D09" w:rsidP="009F4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7A5"/>
    <w:rsid w:val="00146261"/>
    <w:rsid w:val="002C40FA"/>
    <w:rsid w:val="003F44FB"/>
    <w:rsid w:val="00481D09"/>
    <w:rsid w:val="00864B7A"/>
    <w:rsid w:val="008A6FD8"/>
    <w:rsid w:val="009776C2"/>
    <w:rsid w:val="009834B2"/>
    <w:rsid w:val="009C1D94"/>
    <w:rsid w:val="009F47A5"/>
    <w:rsid w:val="00A65A3E"/>
    <w:rsid w:val="00BC56DC"/>
    <w:rsid w:val="00DD4567"/>
    <w:rsid w:val="00E57E1F"/>
    <w:rsid w:val="00FC10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A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7A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9F47A5"/>
    <w:rPr>
      <w:sz w:val="18"/>
      <w:szCs w:val="18"/>
    </w:rPr>
  </w:style>
  <w:style w:type="paragraph" w:styleId="Footer">
    <w:name w:val="footer"/>
    <w:basedOn w:val="Normal"/>
    <w:link w:val="FooterChar"/>
    <w:uiPriority w:val="99"/>
    <w:rsid w:val="009F47A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9F47A5"/>
    <w:rPr>
      <w:sz w:val="18"/>
      <w:szCs w:val="18"/>
    </w:rPr>
  </w:style>
  <w:style w:type="character" w:styleId="PageNumber">
    <w:name w:val="page number"/>
    <w:basedOn w:val="DefaultParagraphFont"/>
    <w:uiPriority w:val="99"/>
    <w:rsid w:val="009F47A5"/>
  </w:style>
  <w:style w:type="paragraph" w:customStyle="1" w:styleId="a">
    <w:name w:val="公文正文"/>
    <w:basedOn w:val="Normal"/>
    <w:uiPriority w:val="99"/>
    <w:rsid w:val="009F47A5"/>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499</Words>
  <Characters>2848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黄江水</dc:creator>
  <cp:keywords/>
  <dc:description/>
  <cp:lastModifiedBy>cims</cp:lastModifiedBy>
  <cp:revision>6</cp:revision>
  <dcterms:created xsi:type="dcterms:W3CDTF">2021-04-26T09:39:00Z</dcterms:created>
  <dcterms:modified xsi:type="dcterms:W3CDTF">2022-06-30T09:57:00Z</dcterms:modified>
</cp:coreProperties>
</file>