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578D3">
      <w:pPr>
        <w:spacing w:line="540" w:lineRule="exact"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新宋体"/>
          <w:bCs/>
          <w:sz w:val="32"/>
          <w:szCs w:val="32"/>
        </w:rPr>
        <w:t>附件１：</w:t>
      </w:r>
    </w:p>
    <w:p w14:paraId="35B01B34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hint="eastAsia" w:asciiTheme="minorEastAsia" w:hAnsiTheme="minorEastAsia"/>
          <w:b/>
          <w:color w:val="000000" w:themeColor="text1"/>
          <w:sz w:val="44"/>
          <w:szCs w:val="44"/>
        </w:rPr>
        <w:t>202</w:t>
      </w:r>
      <w:r>
        <w:rPr>
          <w:rFonts w:hint="eastAsia" w:asciiTheme="minorEastAsia" w:hAnsiTheme="minorEastAsia"/>
          <w:b/>
          <w:color w:val="000000" w:themeColor="text1"/>
          <w:sz w:val="44"/>
          <w:szCs w:val="44"/>
          <w:lang w:val="en-US" w:eastAsia="zh-CN"/>
        </w:rPr>
        <w:t>5</w:t>
      </w:r>
      <w:r>
        <w:rPr>
          <w:rFonts w:hint="eastAsia" w:asciiTheme="minorEastAsia" w:hAnsiTheme="minorEastAsia"/>
          <w:b/>
          <w:color w:val="000000" w:themeColor="text1"/>
          <w:sz w:val="44"/>
          <w:szCs w:val="44"/>
        </w:rPr>
        <w:t>年漳平市财政局普法责任清单</w:t>
      </w:r>
    </w:p>
    <w:p w14:paraId="113109E8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单位（盖章）：</w:t>
      </w:r>
    </w:p>
    <w:tbl>
      <w:tblPr>
        <w:tblStyle w:val="8"/>
        <w:tblW w:w="141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641"/>
        <w:gridCol w:w="2689"/>
        <w:gridCol w:w="5517"/>
        <w:gridCol w:w="2283"/>
      </w:tblGrid>
      <w:tr w14:paraId="753F35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41" w:type="dxa"/>
            <w:vAlign w:val="center"/>
          </w:tcPr>
          <w:p w14:paraId="1A091D26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  <w:tc>
          <w:tcPr>
            <w:tcW w:w="2641" w:type="dxa"/>
            <w:vAlign w:val="center"/>
          </w:tcPr>
          <w:p w14:paraId="7FB618F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法律法规</w:t>
            </w:r>
          </w:p>
        </w:tc>
        <w:tc>
          <w:tcPr>
            <w:tcW w:w="2689" w:type="dxa"/>
            <w:vAlign w:val="center"/>
          </w:tcPr>
          <w:p w14:paraId="65E7B6E8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普法对象</w:t>
            </w:r>
          </w:p>
        </w:tc>
        <w:tc>
          <w:tcPr>
            <w:tcW w:w="5517" w:type="dxa"/>
            <w:vAlign w:val="center"/>
          </w:tcPr>
          <w:p w14:paraId="3303C84E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年度重点活动</w:t>
            </w:r>
          </w:p>
        </w:tc>
        <w:tc>
          <w:tcPr>
            <w:tcW w:w="2283" w:type="dxa"/>
            <w:vAlign w:val="center"/>
          </w:tcPr>
          <w:p w14:paraId="5A60602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拟邀请参加单位</w:t>
            </w:r>
          </w:p>
        </w:tc>
      </w:tr>
      <w:tr w14:paraId="283DE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41" w:type="dxa"/>
            <w:vMerge w:val="restart"/>
            <w:vAlign w:val="center"/>
          </w:tcPr>
          <w:p w14:paraId="224125E2">
            <w:pPr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55530BF6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预算法</w:t>
            </w:r>
          </w:p>
        </w:tc>
        <w:tc>
          <w:tcPr>
            <w:tcW w:w="2689" w:type="dxa"/>
            <w:vAlign w:val="center"/>
          </w:tcPr>
          <w:p w14:paraId="05CECBC5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全市会计从业人员</w:t>
            </w:r>
          </w:p>
        </w:tc>
        <w:tc>
          <w:tcPr>
            <w:tcW w:w="5517" w:type="dxa"/>
            <w:vAlign w:val="center"/>
          </w:tcPr>
          <w:p w14:paraId="205F10E7">
            <w:pPr>
              <w:spacing w:line="260" w:lineRule="exact"/>
              <w:ind w:firstLine="100" w:firstLineChars="50"/>
              <w:jc w:val="left"/>
              <w:rPr>
                <w:rFonts w:cs="宋体" w:asciiTheme="minorEastAsia" w:hAnsiTheme="minorEastAsia"/>
                <w:bCs/>
                <w:color w:val="FF0000"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开展《预算法》《预算法实施条例》业务知识培训</w:t>
            </w:r>
          </w:p>
        </w:tc>
        <w:tc>
          <w:tcPr>
            <w:tcW w:w="2283" w:type="dxa"/>
            <w:vAlign w:val="center"/>
          </w:tcPr>
          <w:p w14:paraId="28017E38">
            <w:pPr>
              <w:spacing w:line="260" w:lineRule="exact"/>
              <w:ind w:firstLine="100" w:firstLineChars="50"/>
              <w:jc w:val="left"/>
              <w:rPr>
                <w:rFonts w:hint="eastAsia" w:cs="宋体" w:asciiTheme="minorEastAsia" w:hAnsiTheme="minorEastAsia"/>
                <w:bCs/>
                <w:sz w:val="20"/>
                <w:szCs w:val="18"/>
              </w:rPr>
            </w:pPr>
          </w:p>
        </w:tc>
      </w:tr>
      <w:tr w14:paraId="680D04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41" w:type="dxa"/>
            <w:vMerge w:val="continue"/>
            <w:vAlign w:val="center"/>
          </w:tcPr>
          <w:p w14:paraId="1F9850A2">
            <w:pPr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6141AC4A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会计法</w:t>
            </w:r>
          </w:p>
        </w:tc>
        <w:tc>
          <w:tcPr>
            <w:tcW w:w="2689" w:type="dxa"/>
            <w:vAlign w:val="center"/>
          </w:tcPr>
          <w:p w14:paraId="3A1DBD66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全市会计从业人员</w:t>
            </w:r>
          </w:p>
        </w:tc>
        <w:tc>
          <w:tcPr>
            <w:tcW w:w="5517" w:type="dxa"/>
            <w:vAlign w:val="center"/>
          </w:tcPr>
          <w:p w14:paraId="731BFF38">
            <w:pPr>
              <w:spacing w:line="260" w:lineRule="exact"/>
              <w:ind w:firstLine="200" w:firstLineChars="100"/>
              <w:jc w:val="left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福建省会计人员继续教育网络培训平台网上学法</w:t>
            </w:r>
          </w:p>
        </w:tc>
        <w:tc>
          <w:tcPr>
            <w:tcW w:w="2283" w:type="dxa"/>
            <w:vAlign w:val="center"/>
          </w:tcPr>
          <w:p w14:paraId="2B00019D">
            <w:pPr>
              <w:spacing w:line="260" w:lineRule="exact"/>
              <w:ind w:firstLine="200" w:firstLineChars="100"/>
              <w:jc w:val="left"/>
              <w:rPr>
                <w:rFonts w:hint="eastAsia" w:cs="宋体" w:asciiTheme="minorEastAsia" w:hAnsiTheme="minorEastAsia"/>
                <w:bCs/>
                <w:sz w:val="20"/>
                <w:szCs w:val="18"/>
              </w:rPr>
            </w:pPr>
          </w:p>
        </w:tc>
      </w:tr>
      <w:tr w14:paraId="7CCA06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41" w:type="dxa"/>
            <w:vMerge w:val="continue"/>
            <w:vAlign w:val="center"/>
          </w:tcPr>
          <w:p w14:paraId="66D9B730">
            <w:pPr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30461429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政府采购法</w:t>
            </w:r>
          </w:p>
        </w:tc>
        <w:tc>
          <w:tcPr>
            <w:tcW w:w="2689" w:type="dxa"/>
            <w:vAlign w:val="center"/>
          </w:tcPr>
          <w:p w14:paraId="39BE4D1D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采购人、代理机构</w:t>
            </w:r>
          </w:p>
        </w:tc>
        <w:tc>
          <w:tcPr>
            <w:tcW w:w="5517" w:type="dxa"/>
            <w:vAlign w:val="center"/>
          </w:tcPr>
          <w:p w14:paraId="0326751C">
            <w:pPr>
              <w:spacing w:line="260" w:lineRule="exact"/>
              <w:ind w:firstLine="200" w:firstLineChars="100"/>
              <w:jc w:val="left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开展《政府采购法》《采购法实施条例》等法律法规培训</w:t>
            </w:r>
          </w:p>
        </w:tc>
        <w:tc>
          <w:tcPr>
            <w:tcW w:w="2283" w:type="dxa"/>
            <w:vAlign w:val="center"/>
          </w:tcPr>
          <w:p w14:paraId="417C169F">
            <w:pPr>
              <w:spacing w:line="260" w:lineRule="exact"/>
              <w:ind w:firstLine="200" w:firstLineChars="100"/>
              <w:jc w:val="left"/>
              <w:rPr>
                <w:rFonts w:hint="eastAsia" w:cs="宋体" w:asciiTheme="minorEastAsia" w:hAnsiTheme="minorEastAsia"/>
                <w:bCs/>
                <w:sz w:val="20"/>
                <w:szCs w:val="18"/>
              </w:rPr>
            </w:pPr>
          </w:p>
        </w:tc>
      </w:tr>
      <w:tr w14:paraId="2DD1ED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41" w:type="dxa"/>
            <w:vMerge w:val="continue"/>
            <w:vAlign w:val="center"/>
          </w:tcPr>
          <w:p w14:paraId="7BBBC4D5">
            <w:pPr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4B675223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财政部门监督办法</w:t>
            </w:r>
          </w:p>
        </w:tc>
        <w:tc>
          <w:tcPr>
            <w:tcW w:w="2689" w:type="dxa"/>
            <w:vAlign w:val="center"/>
          </w:tcPr>
          <w:p w14:paraId="34DAC2D8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全局干部职工</w:t>
            </w:r>
          </w:p>
        </w:tc>
        <w:tc>
          <w:tcPr>
            <w:tcW w:w="5517" w:type="dxa"/>
            <w:vAlign w:val="center"/>
          </w:tcPr>
          <w:p w14:paraId="1C683052">
            <w:pPr>
              <w:spacing w:line="260" w:lineRule="exact"/>
              <w:ind w:firstLine="200" w:firstLineChars="100"/>
              <w:jc w:val="left"/>
              <w:rPr>
                <w:rFonts w:cs="宋体" w:asciiTheme="minorEastAsia" w:hAnsiTheme="minorEastAsia"/>
                <w:bCs/>
                <w:color w:val="FF0000"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开展以案说法法治讲座</w:t>
            </w:r>
          </w:p>
        </w:tc>
        <w:tc>
          <w:tcPr>
            <w:tcW w:w="2283" w:type="dxa"/>
            <w:vAlign w:val="center"/>
          </w:tcPr>
          <w:p w14:paraId="5EDC57D0">
            <w:pPr>
              <w:spacing w:line="260" w:lineRule="exact"/>
              <w:ind w:firstLine="200" w:firstLineChars="100"/>
              <w:jc w:val="left"/>
              <w:rPr>
                <w:rFonts w:hint="eastAsia" w:cs="宋体" w:asciiTheme="minorEastAsia" w:hAnsiTheme="minorEastAsia"/>
                <w:bCs/>
                <w:sz w:val="20"/>
                <w:szCs w:val="18"/>
              </w:rPr>
            </w:pPr>
          </w:p>
        </w:tc>
      </w:tr>
      <w:tr w14:paraId="3DBAA6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41" w:type="dxa"/>
            <w:vMerge w:val="continue"/>
            <w:vAlign w:val="center"/>
          </w:tcPr>
          <w:p w14:paraId="74F12E27">
            <w:pPr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6280962C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行政事业性国有资产管理条例</w:t>
            </w:r>
          </w:p>
        </w:tc>
        <w:tc>
          <w:tcPr>
            <w:tcW w:w="2689" w:type="dxa"/>
            <w:vAlign w:val="center"/>
          </w:tcPr>
          <w:p w14:paraId="67498CE2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全市行政事业单位相关人员</w:t>
            </w:r>
          </w:p>
        </w:tc>
        <w:tc>
          <w:tcPr>
            <w:tcW w:w="5517" w:type="dxa"/>
            <w:vAlign w:val="center"/>
          </w:tcPr>
          <w:p w14:paraId="3E18E781">
            <w:pPr>
              <w:spacing w:line="260" w:lineRule="exact"/>
              <w:ind w:firstLine="200" w:firstLineChars="100"/>
              <w:jc w:val="left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开展《行政事业性国有资产管理条例》知识学习</w:t>
            </w:r>
          </w:p>
        </w:tc>
        <w:tc>
          <w:tcPr>
            <w:tcW w:w="2283" w:type="dxa"/>
            <w:vAlign w:val="center"/>
          </w:tcPr>
          <w:p w14:paraId="4CC36803">
            <w:pPr>
              <w:spacing w:line="260" w:lineRule="exact"/>
              <w:ind w:firstLine="200" w:firstLineChars="100"/>
              <w:jc w:val="left"/>
              <w:rPr>
                <w:rFonts w:hint="eastAsia" w:cs="宋体" w:asciiTheme="minorEastAsia" w:hAnsiTheme="minorEastAsia"/>
                <w:bCs/>
                <w:sz w:val="20"/>
                <w:szCs w:val="18"/>
              </w:rPr>
            </w:pPr>
          </w:p>
        </w:tc>
      </w:tr>
      <w:tr w14:paraId="5E96AD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41" w:type="dxa"/>
            <w:vMerge w:val="continue"/>
            <w:vAlign w:val="center"/>
          </w:tcPr>
          <w:p w14:paraId="0A10C980">
            <w:pPr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664BDFEB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福建省非税收入管理办法</w:t>
            </w:r>
          </w:p>
        </w:tc>
        <w:tc>
          <w:tcPr>
            <w:tcW w:w="2689" w:type="dxa"/>
            <w:vAlign w:val="center"/>
          </w:tcPr>
          <w:p w14:paraId="73C62EF0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各执收单位相关人员</w:t>
            </w:r>
          </w:p>
        </w:tc>
        <w:tc>
          <w:tcPr>
            <w:tcW w:w="5517" w:type="dxa"/>
            <w:vAlign w:val="center"/>
          </w:tcPr>
          <w:p w14:paraId="5C032F9D">
            <w:pPr>
              <w:spacing w:line="260" w:lineRule="exact"/>
              <w:ind w:firstLine="200" w:firstLineChars="100"/>
              <w:jc w:val="left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政府信息网、微信等新媒体公开非税收入调整政策</w:t>
            </w:r>
          </w:p>
        </w:tc>
        <w:tc>
          <w:tcPr>
            <w:tcW w:w="2283" w:type="dxa"/>
            <w:vAlign w:val="center"/>
          </w:tcPr>
          <w:p w14:paraId="7362468F">
            <w:pPr>
              <w:spacing w:line="260" w:lineRule="exact"/>
              <w:ind w:firstLine="200" w:firstLineChars="100"/>
              <w:jc w:val="left"/>
              <w:rPr>
                <w:rFonts w:hint="eastAsia" w:cs="宋体" w:asciiTheme="minorEastAsia" w:hAnsiTheme="minorEastAsia"/>
                <w:bCs/>
                <w:sz w:val="20"/>
                <w:szCs w:val="18"/>
              </w:rPr>
            </w:pPr>
          </w:p>
        </w:tc>
      </w:tr>
      <w:tr w14:paraId="2767F7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41" w:type="dxa"/>
            <w:vMerge w:val="continue"/>
            <w:vAlign w:val="center"/>
          </w:tcPr>
          <w:p w14:paraId="665EFB7F">
            <w:pPr>
              <w:rPr>
                <w:rFonts w:ascii="仿宋" w:hAnsi="仿宋"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641" w:type="dxa"/>
            <w:vAlign w:val="center"/>
          </w:tcPr>
          <w:p w14:paraId="42A12047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防范和处置非法集资条例</w:t>
            </w:r>
          </w:p>
        </w:tc>
        <w:tc>
          <w:tcPr>
            <w:tcW w:w="2689" w:type="dxa"/>
            <w:vAlign w:val="center"/>
          </w:tcPr>
          <w:p w14:paraId="1BB6E625">
            <w:pPr>
              <w:spacing w:line="260" w:lineRule="exact"/>
              <w:jc w:val="center"/>
              <w:rPr>
                <w:rFonts w:cs="宋体" w:asciiTheme="minorEastAsia" w:hAnsiTheme="minorEastAsia"/>
                <w:bCs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sz w:val="20"/>
                <w:szCs w:val="18"/>
              </w:rPr>
              <w:t>群众</w:t>
            </w:r>
          </w:p>
        </w:tc>
        <w:tc>
          <w:tcPr>
            <w:tcW w:w="5517" w:type="dxa"/>
            <w:vAlign w:val="center"/>
          </w:tcPr>
          <w:p w14:paraId="0835872C">
            <w:pPr>
              <w:spacing w:line="260" w:lineRule="exact"/>
              <w:ind w:firstLine="200" w:firstLineChars="100"/>
              <w:jc w:val="left"/>
              <w:rPr>
                <w:rFonts w:cs="宋体" w:asciiTheme="minorEastAsia" w:hAnsiTheme="minorEastAsia"/>
                <w:bCs/>
                <w:color w:val="000000" w:themeColor="text1"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z w:val="20"/>
                <w:szCs w:val="18"/>
              </w:rPr>
              <w:t>开展集中宣传、分发宣传材料</w:t>
            </w:r>
          </w:p>
        </w:tc>
        <w:tc>
          <w:tcPr>
            <w:tcW w:w="2283" w:type="dxa"/>
            <w:vAlign w:val="center"/>
          </w:tcPr>
          <w:p w14:paraId="6109AFD3">
            <w:pPr>
              <w:spacing w:line="260" w:lineRule="exact"/>
              <w:ind w:firstLine="200" w:firstLineChars="100"/>
              <w:jc w:val="left"/>
              <w:rPr>
                <w:rFonts w:hint="eastAsia" w:cs="宋体" w:asciiTheme="minorEastAsia" w:hAnsiTheme="minorEastAsia"/>
                <w:bCs/>
                <w:color w:val="000000" w:themeColor="text1"/>
                <w:sz w:val="20"/>
                <w:szCs w:val="18"/>
              </w:rPr>
            </w:pPr>
          </w:p>
        </w:tc>
      </w:tr>
    </w:tbl>
    <w:p w14:paraId="655F2125">
      <w:pPr>
        <w:ind w:firstLine="840" w:firstLineChars="350"/>
        <w:rPr>
          <w:rFonts w:hint="default" w:ascii="仿宋" w:hAnsi="仿宋" w:eastAsiaTheme="minorEastAsia"/>
          <w:color w:val="FF0000"/>
          <w:szCs w:val="21"/>
          <w:lang w:val="en-US" w:eastAsia="zh-CN"/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</w:rPr>
        <w:t xml:space="preserve">                          </w:t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20D2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4ZGI2MzZmMjZlMDQ5NGM0NTA1ZGI0MmI2ZWQxM2YifQ=="/>
  </w:docVars>
  <w:rsids>
    <w:rsidRoot w:val="00562FCC"/>
    <w:rsid w:val="00056260"/>
    <w:rsid w:val="00243143"/>
    <w:rsid w:val="002E59E8"/>
    <w:rsid w:val="003303E1"/>
    <w:rsid w:val="003633BB"/>
    <w:rsid w:val="003E25DF"/>
    <w:rsid w:val="00404ACC"/>
    <w:rsid w:val="0046164F"/>
    <w:rsid w:val="00472610"/>
    <w:rsid w:val="004B0A74"/>
    <w:rsid w:val="004D77D5"/>
    <w:rsid w:val="00525B24"/>
    <w:rsid w:val="00562FCC"/>
    <w:rsid w:val="00567C52"/>
    <w:rsid w:val="0063536C"/>
    <w:rsid w:val="0066628C"/>
    <w:rsid w:val="00671FED"/>
    <w:rsid w:val="006B0465"/>
    <w:rsid w:val="006D2A5B"/>
    <w:rsid w:val="00797284"/>
    <w:rsid w:val="007A065B"/>
    <w:rsid w:val="008761C0"/>
    <w:rsid w:val="0094243B"/>
    <w:rsid w:val="00A0650E"/>
    <w:rsid w:val="00A67F49"/>
    <w:rsid w:val="00AA4BE7"/>
    <w:rsid w:val="00AD3EBA"/>
    <w:rsid w:val="00B05953"/>
    <w:rsid w:val="00B46E0B"/>
    <w:rsid w:val="00B708DD"/>
    <w:rsid w:val="00BA1A62"/>
    <w:rsid w:val="00D30A24"/>
    <w:rsid w:val="00D461C8"/>
    <w:rsid w:val="00DF3809"/>
    <w:rsid w:val="00ED248A"/>
    <w:rsid w:val="00F57221"/>
    <w:rsid w:val="00F65B96"/>
    <w:rsid w:val="00F90C4A"/>
    <w:rsid w:val="00FB4929"/>
    <w:rsid w:val="00FD4CE0"/>
    <w:rsid w:val="00FE67FB"/>
    <w:rsid w:val="02BC6724"/>
    <w:rsid w:val="0F197D07"/>
    <w:rsid w:val="2B484344"/>
    <w:rsid w:val="514D1AB6"/>
    <w:rsid w:val="6C7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2">
    <w:name w:val="标题 Char"/>
    <w:basedOn w:val="9"/>
    <w:link w:val="6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4"/>
    <w:semiHidden/>
    <w:uiPriority w:val="99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302</Words>
  <Characters>311</Characters>
  <Lines>2</Lines>
  <Paragraphs>1</Paragraphs>
  <TotalTime>1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2023-03-24T08:12:00Z</dcterms:created>
  <dc:creator>user002</dc:creator>
  <cp:lastModifiedBy>我行</cp:lastModifiedBy>
  <cp:lastPrinted>2023-05-09T01:56:00Z</cp:lastPrinted>
  <dcterms:modified xsi:type="dcterms:W3CDTF">2025-03-31T01:37:14Z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E551233D5C654380832DF4B78102A468_12</vt:lpwstr>
  </property>
  <property fmtid="{D5CDD505-2E9C-101B-9397-08002B2CF9AE}" pid="4" name="KSOTemplateDocerSaveRecord">
    <vt:lpwstr>eyJoZGlkIjoiZTc4ZGI2MzZmMjZlMDQ5NGM0NTA1ZGI0MmI2ZWQxM2YiLCJ1c2VySWQiOiI0NDY5MTc1MzEifQ==</vt:lpwstr>
  </property>
</Properties>
</file>